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022A0">
      <w:pPr>
        <w:rPr>
          <w:rFonts w:ascii="Times New Roman" w:hAnsi="Times New Roman"/>
          <w:highlight w:val="none"/>
        </w:rPr>
      </w:pPr>
      <w:bookmarkStart w:id="0" w:name="_Toc15377193"/>
      <w:bookmarkStart w:id="1" w:name="_Toc15378441"/>
      <w:bookmarkStart w:id="2" w:name="_Toc15377425"/>
      <w:bookmarkStart w:id="3" w:name="_Toc15396597"/>
      <w:bookmarkStart w:id="4" w:name="_Toc15396475"/>
      <w:bookmarkStart w:id="5" w:name="_Toc15306267"/>
    </w:p>
    <w:p w14:paraId="6A6B3D84">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1DA828FA">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72" w:name="_GoBack"/>
      <w:bookmarkEnd w:id="72"/>
    </w:p>
    <w:p w14:paraId="7ABE5B75">
      <w:pPr>
        <w:pStyle w:val="6"/>
        <w:jc w:val="both"/>
        <w:rPr>
          <w:rFonts w:hint="eastAsia" w:ascii="黑体" w:hAnsi="黑体" w:eastAsia="黑体" w:cs="黑体"/>
          <w:color w:val="auto"/>
          <w:kern w:val="2"/>
          <w:sz w:val="44"/>
          <w:szCs w:val="44"/>
          <w:highlight w:val="none"/>
          <w:lang w:val="en-US" w:eastAsia="zh-CN" w:bidi="ar-SA"/>
        </w:rPr>
      </w:pPr>
    </w:p>
    <w:bookmarkEnd w:id="0"/>
    <w:bookmarkEnd w:id="1"/>
    <w:bookmarkEnd w:id="2"/>
    <w:bookmarkEnd w:id="3"/>
    <w:bookmarkEnd w:id="4"/>
    <w:p w14:paraId="6D58E403">
      <w:pPr>
        <w:pStyle w:val="6"/>
        <w:jc w:val="center"/>
        <w:rPr>
          <w:rFonts w:hint="eastAsia" w:ascii="黑体" w:hAnsi="黑体" w:eastAsia="黑体" w:cs="黑体"/>
          <w:color w:val="auto"/>
          <w:kern w:val="2"/>
          <w:sz w:val="44"/>
          <w:szCs w:val="44"/>
          <w:highlight w:val="none"/>
          <w:lang w:val="en-US" w:eastAsia="zh-CN" w:bidi="ar-SA"/>
        </w:rPr>
      </w:pPr>
      <w:bookmarkStart w:id="6" w:name="_Toc15396598"/>
      <w:bookmarkStart w:id="7" w:name="_Toc15377194"/>
      <w:bookmarkStart w:id="8" w:name="_Toc15378442"/>
      <w:bookmarkStart w:id="9" w:name="_Toc15377426"/>
      <w:bookmarkStart w:id="10" w:name="_Toc15396476"/>
      <w:r>
        <w:rPr>
          <w:rFonts w:hint="eastAsia" w:ascii="黑体" w:hAnsi="黑体" w:eastAsia="黑体" w:cs="黑体"/>
          <w:color w:val="auto"/>
          <w:kern w:val="2"/>
          <w:sz w:val="44"/>
          <w:szCs w:val="44"/>
          <w:highlight w:val="none"/>
          <w:lang w:val="en-US" w:eastAsia="zh-CN" w:bidi="ar-SA"/>
        </w:rPr>
        <w:t>2024年度</w:t>
      </w:r>
    </w:p>
    <w:p w14:paraId="7E535E5C">
      <w:pPr>
        <w:pStyle w:val="6"/>
        <w:jc w:val="center"/>
        <w:rPr>
          <w:rFonts w:hint="eastAsia" w:ascii="黑体" w:hAnsi="黑体" w:eastAsia="黑体" w:cs="黑体"/>
          <w:color w:val="auto"/>
          <w:kern w:val="2"/>
          <w:sz w:val="44"/>
          <w:szCs w:val="44"/>
          <w:highlight w:val="none"/>
          <w:lang w:val="en-US" w:eastAsia="zh-CN" w:bidi="ar-SA"/>
        </w:rPr>
      </w:pPr>
      <w:r>
        <w:rPr>
          <w:rFonts w:hint="eastAsia" w:ascii="黑体" w:hAnsi="黑体" w:eastAsia="黑体" w:cs="黑体"/>
          <w:color w:val="auto"/>
          <w:kern w:val="2"/>
          <w:sz w:val="44"/>
          <w:szCs w:val="44"/>
          <w:highlight w:val="none"/>
          <w:lang w:val="en-US" w:eastAsia="zh-CN" w:bidi="ar-SA"/>
        </w:rPr>
        <w:t>四川省</w:t>
      </w:r>
      <w:bookmarkEnd w:id="5"/>
      <w:bookmarkStart w:id="11" w:name="_Toc15306268"/>
      <w:r>
        <w:rPr>
          <w:rFonts w:hint="eastAsia" w:ascii="黑体" w:hAnsi="黑体" w:eastAsia="黑体" w:cs="黑体"/>
          <w:color w:val="auto"/>
          <w:kern w:val="2"/>
          <w:sz w:val="44"/>
          <w:szCs w:val="44"/>
          <w:highlight w:val="none"/>
          <w:lang w:val="en-US" w:eastAsia="zh-CN" w:bidi="ar-SA"/>
        </w:rPr>
        <w:t>人民政府科学城办事处</w:t>
      </w:r>
    </w:p>
    <w:p w14:paraId="5E98136C">
      <w:pPr>
        <w:pStyle w:val="6"/>
        <w:jc w:val="center"/>
        <w:rPr>
          <w:rFonts w:hint="eastAsia" w:ascii="黑体" w:hAnsi="黑体" w:eastAsia="黑体" w:cs="黑体"/>
          <w:color w:val="auto"/>
          <w:kern w:val="2"/>
          <w:sz w:val="44"/>
          <w:szCs w:val="44"/>
          <w:highlight w:val="none"/>
          <w:lang w:val="en-US" w:eastAsia="zh-CN" w:bidi="ar-SA"/>
        </w:rPr>
      </w:pPr>
      <w:r>
        <w:rPr>
          <w:rFonts w:hint="eastAsia" w:ascii="黑体" w:hAnsi="黑体" w:eastAsia="黑体" w:cs="黑体"/>
          <w:color w:val="auto"/>
          <w:kern w:val="2"/>
          <w:sz w:val="44"/>
          <w:szCs w:val="44"/>
          <w:highlight w:val="none"/>
          <w:lang w:val="en-US" w:eastAsia="zh-CN" w:bidi="ar-SA"/>
        </w:rPr>
        <w:t>部门决算</w:t>
      </w:r>
      <w:bookmarkEnd w:id="6"/>
      <w:bookmarkEnd w:id="7"/>
      <w:bookmarkEnd w:id="8"/>
      <w:bookmarkEnd w:id="9"/>
      <w:bookmarkEnd w:id="10"/>
      <w:bookmarkEnd w:id="11"/>
    </w:p>
    <w:p w14:paraId="054E09F7">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66FF899">
      <w:pPr>
        <w:widowControl/>
        <w:jc w:val="center"/>
        <w:rPr>
          <w:rFonts w:ascii="Times New Roman" w:hAnsi="Times New Roman" w:eastAsia="黑体" w:cstheme="minorBidi"/>
          <w:color w:val="auto"/>
          <w:sz w:val="28"/>
          <w:szCs w:val="28"/>
          <w:highlight w:val="none"/>
        </w:rPr>
      </w:pPr>
    </w:p>
    <w:p w14:paraId="0FA83F52">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日</w:t>
      </w:r>
    </w:p>
    <w:p w14:paraId="60564412">
      <w:pPr>
        <w:rPr>
          <w:rFonts w:ascii="Times New Roman" w:hAnsi="Times New Roman"/>
          <w:color w:val="auto"/>
          <w:highlight w:val="none"/>
        </w:rPr>
      </w:pPr>
    </w:p>
    <w:p w14:paraId="0C3D2DDE">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第一部分 部门概况</w:t>
      </w:r>
    </w:p>
    <w:p w14:paraId="6356DB8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p>
    <w:p w14:paraId="5A36AB3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p>
    <w:p w14:paraId="2CF82CA7">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p>
    <w:p w14:paraId="309DFA5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p>
    <w:p w14:paraId="7705149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p>
    <w:p w14:paraId="17E0D26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p>
    <w:p w14:paraId="1D07E0F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p>
    <w:p w14:paraId="2B403B6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p>
    <w:p w14:paraId="41C00B4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p>
    <w:p w14:paraId="07E4396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p>
    <w:p w14:paraId="3E423C8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p>
    <w:p w14:paraId="45BA21E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p>
    <w:p w14:paraId="703F802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p>
    <w:p w14:paraId="55906C55">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p>
    <w:p w14:paraId="3F858B54">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p>
    <w:p w14:paraId="11478FCC">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14:paraId="7CC4CE7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14:paraId="61F9D61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14:paraId="7CA5A22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14:paraId="519A8ED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14:paraId="4CD32F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14:paraId="3B962B7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14:paraId="6696D6A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14:paraId="48B4FBA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7DBD331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14:paraId="222242B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14:paraId="6321795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14:paraId="471CB5D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0246C92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14:paraId="59C91E70">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58676C1A">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12"/>
      <w:bookmarkEnd w:id="13"/>
    </w:p>
    <w:p w14:paraId="436630EF">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49CE7AA6">
      <w:pPr>
        <w:numPr>
          <w:ilvl w:val="0"/>
          <w:numId w:val="0"/>
        </w:numPr>
        <w:ind w:firstLine="640" w:firstLineChars="200"/>
        <w:rPr>
          <w:rFonts w:hint="eastAsia"/>
          <w:lang w:eastAsia="zh-CN"/>
        </w:rPr>
      </w:pPr>
      <w:r>
        <w:rPr>
          <w:rFonts w:hint="eastAsia" w:ascii="仿宋_GB2312" w:hAnsi="仿宋" w:eastAsia="仿宋_GB2312"/>
          <w:sz w:val="32"/>
          <w:szCs w:val="32"/>
        </w:rPr>
        <w:t>四川省人民政府科学城办事处（以下简称川府科办）为省政府派出机构，与中国工程物理研究院公共事务管理部一个机构两块牌子。负责中国工程物理研究院在川征地范围内的行政管理和行政执法工作，承办省政府交办的其他事项。</w:t>
      </w:r>
    </w:p>
    <w:p w14:paraId="2EFF8473">
      <w:pPr>
        <w:pStyle w:val="4"/>
        <w:rPr>
          <w:rStyle w:val="29"/>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14:paraId="44514F11">
      <w:pPr>
        <w:ind w:firstLine="800" w:firstLineChars="250"/>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eastAsia="zh-CN"/>
        </w:rPr>
        <w:t>四川省人民政府科学城办事处</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w:t>
      </w:r>
    </w:p>
    <w:p w14:paraId="391EE6AD">
      <w:pPr>
        <w:pStyle w:val="6"/>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rFonts w:hint="eastAsia" w:ascii="Times New Roman" w:cs="仿宋_GB2312"/>
          <w:color w:val="auto"/>
          <w:sz w:val="32"/>
          <w:szCs w:val="32"/>
          <w:highlight w:val="none"/>
          <w:lang w:eastAsia="zh-CN"/>
        </w:rPr>
        <w:t>四川省人民政府科学城办事处</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p>
    <w:p w14:paraId="7E5F60EF">
      <w:pPr>
        <w:pStyle w:val="6"/>
        <w:numPr>
          <w:ilvl w:val="0"/>
          <w:numId w:val="2"/>
        </w:numPr>
        <w:adjustRightInd w:val="0"/>
        <w:snapToGrid w:val="0"/>
        <w:spacing w:before="93" w:line="600" w:lineRule="exact"/>
        <w:outlineLvl w:val="2"/>
        <w:rPr>
          <w:rFonts w:ascii="Times New Roman" w:hAnsi="Times New Roman" w:eastAsia="仿宋"/>
          <w:color w:val="auto"/>
          <w:kern w:val="0"/>
          <w:sz w:val="32"/>
          <w:szCs w:val="32"/>
          <w:highlight w:val="none"/>
        </w:rPr>
      </w:pPr>
      <w:bookmarkStart w:id="16" w:name="_Toc15377433"/>
      <w:bookmarkStart w:id="17" w:name="_Toc15378449"/>
      <w:bookmarkStart w:id="18" w:name="_Toc15377202"/>
      <w:bookmarkStart w:id="19" w:name="_Toc15306276"/>
      <w:r>
        <w:rPr>
          <w:rFonts w:hint="eastAsia" w:ascii="Times New Roman" w:cs="仿宋_GB2312"/>
          <w:color w:val="auto"/>
          <w:sz w:val="32"/>
          <w:szCs w:val="32"/>
          <w:highlight w:val="none"/>
          <w:lang w:eastAsia="zh-CN"/>
        </w:rPr>
        <w:t>四川省人民政府科学城办事处</w:t>
      </w:r>
      <w:bookmarkEnd w:id="16"/>
      <w:bookmarkEnd w:id="17"/>
      <w:bookmarkEnd w:id="18"/>
      <w:bookmarkEnd w:id="19"/>
      <w:r>
        <w:rPr>
          <w:rFonts w:ascii="Times New Roman" w:hAnsi="Times New Roman" w:eastAsia="仿宋"/>
          <w:color w:val="auto"/>
          <w:sz w:val="32"/>
          <w:szCs w:val="32"/>
          <w:highlight w:val="none"/>
        </w:rPr>
        <w:br w:type="page"/>
      </w:r>
    </w:p>
    <w:p w14:paraId="6FF1FB85">
      <w:pPr>
        <w:pStyle w:val="3"/>
        <w:jc w:val="center"/>
        <w:rPr>
          <w:rFonts w:hint="eastAsia" w:ascii="Times New Roman" w:hAnsi="Times New Roman" w:eastAsia="方正小标宋简体" w:cs="方正小标宋简体"/>
          <w:b w:val="0"/>
          <w:color w:val="auto"/>
          <w:highlight w:val="none"/>
        </w:rPr>
      </w:pPr>
      <w:bookmarkStart w:id="20" w:name="_Toc15396602"/>
      <w:bookmarkStart w:id="2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0"/>
      <w:bookmarkEnd w:id="21"/>
    </w:p>
    <w:p w14:paraId="1B1C0629">
      <w:pPr>
        <w:rPr>
          <w:rFonts w:ascii="Times New Roman" w:hAnsi="Times New Roman"/>
          <w:color w:val="auto"/>
          <w:highlight w:val="none"/>
        </w:rPr>
      </w:pPr>
    </w:p>
    <w:p w14:paraId="79EDC8C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3"/>
      <w:bookmarkStart w:id="2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22"/>
      <w:bookmarkEnd w:id="23"/>
    </w:p>
    <w:p w14:paraId="6266DD6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val="en-US" w:eastAsia="zh-CN"/>
        </w:rPr>
        <w:t>0.70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率</w:t>
      </w:r>
      <w:r>
        <w:rPr>
          <w:rFonts w:hint="eastAsia" w:ascii="仿宋_GB2312" w:hAnsi="仿宋" w:eastAsia="仿宋_GB2312"/>
          <w:sz w:val="32"/>
          <w:szCs w:val="32"/>
          <w:lang w:val="en-US" w:eastAsia="zh-CN"/>
        </w:rPr>
        <w:t>0.04</w:t>
      </w:r>
      <w:r>
        <w:rPr>
          <w:rFonts w:hint="eastAsia" w:ascii="仿宋_GB2312" w:hAnsi="仿宋" w:eastAsia="仿宋_GB2312"/>
          <w:sz w:val="32"/>
          <w:szCs w:val="32"/>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预算指标减少。</w:t>
      </w:r>
    </w:p>
    <w:p w14:paraId="4E13401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eastAsia="zh-CN"/>
        </w:rPr>
      </w:pPr>
      <w:r>
        <w:drawing>
          <wp:anchor distT="0" distB="0" distL="114300" distR="114300" simplePos="0" relativeHeight="251659264" behindDoc="1" locked="0" layoutInCell="1" allowOverlap="1">
            <wp:simplePos x="0" y="0"/>
            <wp:positionH relativeFrom="column">
              <wp:posOffset>332740</wp:posOffset>
            </wp:positionH>
            <wp:positionV relativeFrom="paragraph">
              <wp:posOffset>929640</wp:posOffset>
            </wp:positionV>
            <wp:extent cx="4803140" cy="2795270"/>
            <wp:effectExtent l="4445" t="5080" r="15240" b="14605"/>
            <wp:wrapTight wrapText="bothSides">
              <wp:wrapPolygon>
                <wp:start x="-20" y="-39"/>
                <wp:lineTo x="-20" y="21257"/>
                <wp:lineTo x="21314" y="21257"/>
                <wp:lineTo x="21314" y="-39"/>
                <wp:lineTo x="-20" y="-39"/>
              </wp:wrapPolygon>
            </wp:wrapTight>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9ADC2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B0EA18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4" w:name="_Toc15377206"/>
      <w:bookmarkStart w:id="25" w:name="_Toc15396604"/>
      <w:r>
        <w:rPr>
          <w:rFonts w:hint="eastAsia" w:ascii="Times New Roman" w:hAnsi="Times New Roman" w:eastAsia="黑体"/>
          <w:color w:val="auto"/>
          <w:sz w:val="32"/>
          <w:szCs w:val="32"/>
          <w:highlight w:val="none"/>
          <w:lang w:eastAsia="zh-CN"/>
        </w:rPr>
        <w:t>二、收入决算情况说明</w:t>
      </w:r>
      <w:bookmarkEnd w:id="24"/>
      <w:bookmarkEnd w:id="25"/>
    </w:p>
    <w:p w14:paraId="3AEE4CD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2024年度本年收入合计</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万元，其中：一般公共预算财政拨款收入</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eastAsia="zh-CN"/>
        </w:rPr>
        <w:t>。</w:t>
      </w:r>
    </w:p>
    <w:p w14:paraId="14B6908D">
      <w:pPr>
        <w:ind w:firstLine="800" w:firstLineChars="250"/>
        <w:rPr>
          <w:rFonts w:hint="eastAsia" w:ascii="Times New Roman" w:hAnsi="Times New Roman" w:eastAsia="仿宋_GB2312" w:cs="仿宋_GB2312"/>
          <w:color w:val="auto"/>
          <w:sz w:val="32"/>
          <w:szCs w:val="32"/>
          <w:highlight w:val="none"/>
          <w:lang w:eastAsia="zh-CN"/>
        </w:rPr>
      </w:pPr>
    </w:p>
    <w:p w14:paraId="27EFF719">
      <w:pPr>
        <w:ind w:firstLine="800" w:firstLineChars="250"/>
        <w:rPr>
          <w:rFonts w:hint="eastAsia" w:ascii="Times New Roman" w:hAnsi="Times New Roman" w:eastAsia="仿宋_GB2312" w:cs="仿宋_GB2312"/>
          <w:color w:val="auto"/>
          <w:sz w:val="32"/>
          <w:szCs w:val="32"/>
          <w:highlight w:val="none"/>
          <w:lang w:eastAsia="zh-CN"/>
        </w:rPr>
      </w:pPr>
    </w:p>
    <w:p w14:paraId="1F3AD5F1">
      <w:pPr>
        <w:ind w:firstLine="800" w:firstLineChars="250"/>
        <w:rPr>
          <w:rFonts w:hint="eastAsia" w:ascii="Times New Roman" w:hAnsi="Times New Roman" w:eastAsia="仿宋_GB2312" w:cs="仿宋_GB2312"/>
          <w:color w:val="auto"/>
          <w:sz w:val="32"/>
          <w:szCs w:val="32"/>
          <w:highlight w:val="none"/>
          <w:lang w:eastAsia="zh-CN"/>
        </w:rPr>
      </w:pPr>
    </w:p>
    <w:p w14:paraId="338E8C84">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1DD02EB4">
      <w:pPr>
        <w:pStyle w:val="14"/>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1312" behindDoc="1" locked="0" layoutInCell="1" allowOverlap="1">
            <wp:simplePos x="0" y="0"/>
            <wp:positionH relativeFrom="column">
              <wp:posOffset>-5080</wp:posOffset>
            </wp:positionH>
            <wp:positionV relativeFrom="paragraph">
              <wp:posOffset>73660</wp:posOffset>
            </wp:positionV>
            <wp:extent cx="4566920" cy="2736215"/>
            <wp:effectExtent l="5080" t="4445" r="14605" b="15240"/>
            <wp:wrapTight wrapText="bothSides">
              <wp:wrapPolygon>
                <wp:start x="-24" y="-35"/>
                <wp:lineTo x="-24" y="21254"/>
                <wp:lineTo x="21297" y="21254"/>
                <wp:lineTo x="21297" y="-35"/>
                <wp:lineTo x="-24" y="-35"/>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4AFF2A7">
      <w:pPr>
        <w:pStyle w:val="8"/>
        <w:rPr>
          <w:rFonts w:hint="eastAsia" w:ascii="Times New Roman" w:hAnsi="Times New Roman" w:eastAsia="仿宋_GB2312" w:cs="仿宋_GB2312"/>
          <w:color w:val="auto"/>
          <w:sz w:val="32"/>
          <w:szCs w:val="32"/>
          <w:highlight w:val="none"/>
          <w:lang w:eastAsia="zh-CN"/>
        </w:rPr>
      </w:pPr>
    </w:p>
    <w:p w14:paraId="1D870EA9">
      <w:pPr>
        <w:pStyle w:val="8"/>
        <w:rPr>
          <w:rFonts w:hint="eastAsia" w:ascii="Times New Roman" w:hAnsi="Times New Roman" w:eastAsia="仿宋_GB2312" w:cs="仿宋_GB2312"/>
          <w:color w:val="auto"/>
          <w:sz w:val="32"/>
          <w:szCs w:val="32"/>
          <w:highlight w:val="none"/>
          <w:lang w:eastAsia="zh-CN"/>
        </w:rPr>
      </w:pPr>
    </w:p>
    <w:p w14:paraId="3C8C1A36">
      <w:pPr>
        <w:pStyle w:val="14"/>
        <w:rPr>
          <w:rFonts w:hint="eastAsia"/>
          <w:lang w:eastAsia="zh-CN"/>
        </w:rPr>
      </w:pPr>
    </w:p>
    <w:p w14:paraId="3636E87E">
      <w:pPr>
        <w:ind w:firstLine="800" w:firstLineChars="250"/>
        <w:rPr>
          <w:rFonts w:hint="eastAsia" w:ascii="Times New Roman" w:hAnsi="Times New Roman" w:eastAsia="仿宋_GB2312" w:cs="仿宋_GB2312"/>
          <w:color w:val="auto"/>
          <w:sz w:val="32"/>
          <w:szCs w:val="32"/>
          <w:highlight w:val="none"/>
          <w:lang w:eastAsia="zh-CN"/>
        </w:rPr>
      </w:pPr>
    </w:p>
    <w:p w14:paraId="304CEF7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6" w:name="_Toc15396605"/>
      <w:bookmarkStart w:id="27" w:name="_Toc15377207"/>
    </w:p>
    <w:p w14:paraId="5B39B04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438D3EB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36FA894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19AC91F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6"/>
      <w:bookmarkEnd w:id="27"/>
    </w:p>
    <w:p w14:paraId="6CBB2A7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2024年度本年支出合计）</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万元，其中：项目支出</w:t>
      </w:r>
      <w:r>
        <w:rPr>
          <w:rFonts w:hint="eastAsia" w:eastAsia="仿宋_GB2312" w:cs="仿宋_GB2312"/>
          <w:color w:val="auto"/>
          <w:sz w:val="32"/>
          <w:szCs w:val="32"/>
          <w:highlight w:val="none"/>
          <w:lang w:val="en-US" w:eastAsia="zh-CN"/>
        </w:rPr>
        <w:t>1531.62</w:t>
      </w:r>
      <w:r>
        <w:rPr>
          <w:rFonts w:hint="eastAsia" w:ascii="Times New Roman" w:hAnsi="Times New Roman"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100.00</w:t>
      </w:r>
      <w:r>
        <w:rPr>
          <w:rFonts w:hint="eastAsia" w:ascii="Times New Roman" w:hAnsi="Times New Roman" w:eastAsia="仿宋_GB2312" w:cs="仿宋_GB2312"/>
          <w:color w:val="auto"/>
          <w:sz w:val="32"/>
          <w:szCs w:val="32"/>
          <w:highlight w:val="none"/>
          <w:lang w:eastAsia="zh-CN"/>
        </w:rPr>
        <w:t>%；</w:t>
      </w:r>
    </w:p>
    <w:p w14:paraId="40F73E2D">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6A77718B">
      <w:pPr>
        <w:pStyle w:val="2"/>
        <w:rPr>
          <w:rFonts w:hint="eastAsia"/>
          <w:lang w:eastAsia="zh-CN"/>
        </w:rPr>
      </w:pPr>
    </w:p>
    <w:p w14:paraId="6F477961">
      <w:pPr>
        <w:pStyle w:val="14"/>
        <w:rPr>
          <w:rFonts w:hint="eastAsia" w:ascii="Times New Roman" w:hAnsi="Times New Roman" w:eastAsia="仿宋_GB2312" w:cs="仿宋_GB2312"/>
          <w:color w:val="auto"/>
          <w:sz w:val="32"/>
          <w:szCs w:val="32"/>
          <w:highlight w:val="none"/>
          <w:lang w:eastAsia="zh-CN"/>
        </w:rPr>
      </w:pPr>
      <w:r>
        <w:drawing>
          <wp:anchor distT="0" distB="0" distL="114300" distR="114300" simplePos="0" relativeHeight="251660288" behindDoc="0" locked="0" layoutInCell="1" allowOverlap="1">
            <wp:simplePos x="0" y="0"/>
            <wp:positionH relativeFrom="column">
              <wp:posOffset>594995</wp:posOffset>
            </wp:positionH>
            <wp:positionV relativeFrom="paragraph">
              <wp:posOffset>42545</wp:posOffset>
            </wp:positionV>
            <wp:extent cx="4572000" cy="2743200"/>
            <wp:effectExtent l="4445" t="4445" r="10160" b="825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2FE0C0F">
      <w:pPr>
        <w:pStyle w:val="8"/>
        <w:rPr>
          <w:rFonts w:hint="eastAsia" w:ascii="Times New Roman" w:hAnsi="Times New Roman" w:eastAsia="仿宋_GB2312" w:cs="仿宋_GB2312"/>
          <w:color w:val="auto"/>
          <w:sz w:val="32"/>
          <w:szCs w:val="32"/>
          <w:highlight w:val="none"/>
          <w:lang w:eastAsia="zh-CN"/>
        </w:rPr>
      </w:pPr>
    </w:p>
    <w:p w14:paraId="3313738C">
      <w:pPr>
        <w:pStyle w:val="8"/>
        <w:rPr>
          <w:rFonts w:hint="eastAsia" w:ascii="Times New Roman" w:hAnsi="Times New Roman" w:eastAsia="仿宋_GB2312" w:cs="仿宋_GB2312"/>
          <w:color w:val="auto"/>
          <w:sz w:val="32"/>
          <w:szCs w:val="32"/>
          <w:highlight w:val="none"/>
          <w:lang w:eastAsia="zh-CN"/>
        </w:rPr>
      </w:pPr>
    </w:p>
    <w:p w14:paraId="0F60D1E2">
      <w:pPr>
        <w:pStyle w:val="8"/>
        <w:rPr>
          <w:rFonts w:hint="eastAsia" w:ascii="Times New Roman" w:hAnsi="Times New Roman" w:eastAsia="仿宋_GB2312" w:cs="仿宋_GB2312"/>
          <w:color w:val="auto"/>
          <w:sz w:val="32"/>
          <w:szCs w:val="32"/>
          <w:highlight w:val="none"/>
          <w:lang w:eastAsia="zh-CN"/>
        </w:rPr>
      </w:pPr>
    </w:p>
    <w:p w14:paraId="6D9F37A0">
      <w:pPr>
        <w:pStyle w:val="8"/>
        <w:rPr>
          <w:rFonts w:hint="eastAsia" w:ascii="Times New Roman" w:hAnsi="Times New Roman" w:eastAsia="仿宋_GB2312" w:cs="仿宋_GB2312"/>
          <w:color w:val="auto"/>
          <w:sz w:val="32"/>
          <w:szCs w:val="32"/>
          <w:highlight w:val="none"/>
          <w:lang w:eastAsia="zh-CN"/>
        </w:rPr>
      </w:pPr>
    </w:p>
    <w:p w14:paraId="43295BB6">
      <w:pPr>
        <w:pStyle w:val="8"/>
        <w:rPr>
          <w:rFonts w:hint="eastAsia" w:ascii="Times New Roman" w:hAnsi="Times New Roman" w:eastAsia="仿宋_GB2312" w:cs="仿宋_GB2312"/>
          <w:color w:val="auto"/>
          <w:sz w:val="32"/>
          <w:szCs w:val="32"/>
          <w:highlight w:val="none"/>
          <w:lang w:eastAsia="zh-CN"/>
        </w:rPr>
      </w:pPr>
    </w:p>
    <w:p w14:paraId="49A5129B">
      <w:pPr>
        <w:pStyle w:val="8"/>
        <w:rPr>
          <w:rFonts w:hint="eastAsia" w:ascii="Times New Roman" w:hAnsi="Times New Roman" w:eastAsia="仿宋_GB2312" w:cs="仿宋_GB2312"/>
          <w:color w:val="auto"/>
          <w:sz w:val="32"/>
          <w:szCs w:val="32"/>
          <w:highlight w:val="none"/>
          <w:lang w:eastAsia="zh-CN"/>
        </w:rPr>
      </w:pPr>
    </w:p>
    <w:p w14:paraId="357943C7">
      <w:pPr>
        <w:pStyle w:val="8"/>
        <w:rPr>
          <w:rFonts w:hint="eastAsia" w:ascii="Times New Roman" w:hAnsi="Times New Roman" w:eastAsia="仿宋_GB2312" w:cs="仿宋_GB2312"/>
          <w:color w:val="auto"/>
          <w:sz w:val="32"/>
          <w:szCs w:val="32"/>
          <w:highlight w:val="none"/>
          <w:lang w:eastAsia="zh-CN"/>
        </w:rPr>
      </w:pPr>
    </w:p>
    <w:p w14:paraId="48529164">
      <w:pPr>
        <w:ind w:firstLine="800" w:firstLineChars="250"/>
        <w:rPr>
          <w:rFonts w:hint="eastAsia" w:ascii="Times New Roman" w:hAnsi="Times New Roman" w:eastAsia="仿宋_GB2312" w:cs="仿宋_GB2312"/>
          <w:color w:val="auto"/>
          <w:sz w:val="32"/>
          <w:szCs w:val="32"/>
          <w:highlight w:val="none"/>
          <w:lang w:eastAsia="zh-CN"/>
        </w:rPr>
      </w:pPr>
    </w:p>
    <w:p w14:paraId="4484574C">
      <w:pPr>
        <w:spacing w:line="600" w:lineRule="exact"/>
        <w:ind w:firstLine="640" w:firstLineChars="200"/>
        <w:outlineLvl w:val="1"/>
        <w:rPr>
          <w:rStyle w:val="29"/>
          <w:rFonts w:ascii="Times New Roman" w:hAnsi="Times New Roman" w:eastAsia="黑体"/>
          <w:b w:val="0"/>
          <w:color w:val="auto"/>
          <w:highlight w:val="none"/>
        </w:rPr>
      </w:pPr>
      <w:bookmarkStart w:id="28" w:name="_Toc15396606"/>
      <w:bookmarkStart w:id="29"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8"/>
      <w:bookmarkEnd w:id="29"/>
    </w:p>
    <w:p w14:paraId="7AD793F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1531.62</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eastAsia="仿宋_GB2312" w:cs="仿宋_GB2312"/>
          <w:color w:val="auto"/>
          <w:kern w:val="2"/>
          <w:sz w:val="32"/>
          <w:szCs w:val="32"/>
          <w:highlight w:val="none"/>
          <w:lang w:val="en-US" w:eastAsia="zh-CN" w:bidi="ar-SA"/>
        </w:rPr>
        <w:t>减少</w:t>
      </w:r>
      <w:r>
        <w:rPr>
          <w:rFonts w:hint="eastAsia" w:ascii="仿宋_GB2312" w:hAnsi="仿宋" w:eastAsia="仿宋_GB2312"/>
          <w:sz w:val="32"/>
          <w:szCs w:val="32"/>
          <w:lang w:val="en-US" w:eastAsia="zh-CN"/>
        </w:rPr>
        <w:t>0.70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率</w:t>
      </w:r>
      <w:r>
        <w:rPr>
          <w:rFonts w:hint="eastAsia" w:ascii="仿宋_GB2312" w:hAnsi="仿宋" w:eastAsia="仿宋_GB2312"/>
          <w:sz w:val="32"/>
          <w:szCs w:val="32"/>
          <w:lang w:val="en-US" w:eastAsia="zh-CN"/>
        </w:rPr>
        <w:t>0.04</w:t>
      </w:r>
      <w:r>
        <w:rPr>
          <w:rFonts w:hint="eastAsia" w:ascii="仿宋_GB2312" w:hAnsi="仿宋" w:eastAsia="仿宋_GB2312"/>
          <w:sz w:val="32"/>
          <w:szCs w:val="32"/>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预算指标减少。</w:t>
      </w:r>
    </w:p>
    <w:p w14:paraId="0F8B7EEC">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212924E6">
      <w:pPr>
        <w:pStyle w:val="14"/>
        <w:rPr>
          <w:rFonts w:hint="eastAsia" w:ascii="Times New Roman" w:hAnsi="Times New Roman" w:eastAsia="仿宋_GB2312" w:cs="仿宋_GB2312"/>
          <w:color w:val="auto"/>
          <w:kern w:val="2"/>
          <w:sz w:val="32"/>
          <w:szCs w:val="32"/>
          <w:highlight w:val="none"/>
          <w:lang w:val="en-US" w:eastAsia="zh-CN" w:bidi="ar-SA"/>
        </w:rPr>
      </w:pPr>
    </w:p>
    <w:p w14:paraId="45FC7B9B">
      <w:pPr>
        <w:pStyle w:val="8"/>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399415</wp:posOffset>
            </wp:positionH>
            <wp:positionV relativeFrom="paragraph">
              <wp:posOffset>155575</wp:posOffset>
            </wp:positionV>
            <wp:extent cx="4634230" cy="3068955"/>
            <wp:effectExtent l="5080" t="4445" r="6350" b="17145"/>
            <wp:wrapSquare wrapText="bothSides"/>
            <wp:docPr id="11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4193178">
      <w:pPr>
        <w:pStyle w:val="8"/>
        <w:rPr>
          <w:rFonts w:hint="eastAsia" w:ascii="Times New Roman" w:hAnsi="Times New Roman" w:eastAsia="仿宋_GB2312" w:cs="仿宋_GB2312"/>
          <w:color w:val="auto"/>
          <w:kern w:val="2"/>
          <w:sz w:val="32"/>
          <w:szCs w:val="32"/>
          <w:highlight w:val="none"/>
          <w:lang w:val="en-US" w:eastAsia="zh-CN" w:bidi="ar-SA"/>
        </w:rPr>
      </w:pPr>
    </w:p>
    <w:p w14:paraId="4E69A1E7">
      <w:pPr>
        <w:pStyle w:val="8"/>
        <w:rPr>
          <w:rFonts w:hint="eastAsia" w:ascii="Times New Roman" w:hAnsi="Times New Roman" w:eastAsia="仿宋_GB2312" w:cs="仿宋_GB2312"/>
          <w:color w:val="auto"/>
          <w:kern w:val="2"/>
          <w:sz w:val="32"/>
          <w:szCs w:val="32"/>
          <w:highlight w:val="none"/>
          <w:lang w:val="en-US" w:eastAsia="zh-CN" w:bidi="ar-SA"/>
        </w:rPr>
      </w:pPr>
    </w:p>
    <w:p w14:paraId="6D4D2C47">
      <w:pPr>
        <w:pStyle w:val="8"/>
        <w:rPr>
          <w:rFonts w:hint="eastAsia" w:ascii="Times New Roman" w:hAnsi="Times New Roman" w:eastAsia="仿宋_GB2312" w:cs="仿宋_GB2312"/>
          <w:color w:val="auto"/>
          <w:kern w:val="2"/>
          <w:sz w:val="32"/>
          <w:szCs w:val="32"/>
          <w:highlight w:val="none"/>
          <w:lang w:val="en-US" w:eastAsia="zh-CN" w:bidi="ar-SA"/>
        </w:rPr>
      </w:pPr>
    </w:p>
    <w:p w14:paraId="663A4B5A">
      <w:pPr>
        <w:pStyle w:val="8"/>
        <w:rPr>
          <w:rFonts w:hint="eastAsia" w:ascii="Times New Roman" w:hAnsi="Times New Roman" w:eastAsia="仿宋_GB2312" w:cs="仿宋_GB2312"/>
          <w:color w:val="auto"/>
          <w:kern w:val="2"/>
          <w:sz w:val="32"/>
          <w:szCs w:val="32"/>
          <w:highlight w:val="none"/>
          <w:lang w:val="en-US" w:eastAsia="zh-CN" w:bidi="ar-SA"/>
        </w:rPr>
      </w:pPr>
    </w:p>
    <w:p w14:paraId="3DA3D6F8">
      <w:pPr>
        <w:pStyle w:val="8"/>
        <w:rPr>
          <w:rFonts w:hint="eastAsia" w:ascii="Times New Roman" w:hAnsi="Times New Roman" w:eastAsia="仿宋_GB2312" w:cs="仿宋_GB2312"/>
          <w:color w:val="auto"/>
          <w:kern w:val="2"/>
          <w:sz w:val="32"/>
          <w:szCs w:val="32"/>
          <w:highlight w:val="none"/>
          <w:lang w:val="en-US" w:eastAsia="zh-CN" w:bidi="ar-SA"/>
        </w:rPr>
      </w:pPr>
    </w:p>
    <w:p w14:paraId="79FB3423">
      <w:pPr>
        <w:pStyle w:val="8"/>
      </w:pPr>
      <w:bookmarkStart w:id="30" w:name="_Toc15377209"/>
      <w:bookmarkStart w:id="31" w:name="_Toc15396607"/>
    </w:p>
    <w:p w14:paraId="40135D40">
      <w:pPr>
        <w:pStyle w:val="8"/>
        <w:spacing w:after="0"/>
        <w:ind w:left="0" w:leftChars="0" w:firstLine="0" w:firstLineChars="0"/>
        <w:rPr>
          <w:rFonts w:hint="eastAsia" w:ascii="Times New Roman" w:hAnsi="Times New Roman" w:eastAsia="黑体"/>
          <w:color w:val="auto"/>
          <w:sz w:val="32"/>
          <w:szCs w:val="32"/>
          <w:highlight w:val="none"/>
        </w:rPr>
      </w:pPr>
    </w:p>
    <w:p w14:paraId="19B608BE">
      <w:pPr>
        <w:pStyle w:val="8"/>
        <w:spacing w:after="0"/>
        <w:ind w:left="0" w:leftChars="0" w:firstLine="0" w:firstLineChars="0"/>
        <w:rPr>
          <w:rFonts w:hint="eastAsia" w:ascii="Times New Roman" w:hAnsi="Times New Roman" w:eastAsia="黑体"/>
          <w:color w:val="auto"/>
          <w:sz w:val="32"/>
          <w:szCs w:val="32"/>
          <w:highlight w:val="none"/>
        </w:rPr>
      </w:pPr>
    </w:p>
    <w:p w14:paraId="420CFB62">
      <w:pPr>
        <w:pStyle w:val="8"/>
        <w:spacing w:after="0"/>
        <w:ind w:left="0" w:leftChars="0" w:firstLine="0" w:firstLineChars="0"/>
        <w:rPr>
          <w:rFonts w:hint="eastAsia" w:ascii="Times New Roman" w:hAnsi="Times New Roman" w:eastAsia="黑体"/>
          <w:color w:val="auto"/>
          <w:sz w:val="32"/>
          <w:szCs w:val="32"/>
          <w:highlight w:val="none"/>
        </w:rPr>
      </w:pPr>
    </w:p>
    <w:p w14:paraId="7F631861">
      <w:pPr>
        <w:pStyle w:val="8"/>
        <w:spacing w:after="0"/>
        <w:ind w:left="0" w:leftChars="0" w:firstLine="0" w:firstLineChars="0"/>
        <w:rPr>
          <w:rFonts w:hint="eastAsia" w:ascii="Times New Roman" w:hAnsi="Times New Roman" w:eastAsia="黑体"/>
          <w:color w:val="auto"/>
          <w:sz w:val="32"/>
          <w:szCs w:val="32"/>
          <w:highlight w:val="none"/>
        </w:rPr>
      </w:pPr>
    </w:p>
    <w:p w14:paraId="07CB8077">
      <w:pPr>
        <w:pStyle w:val="8"/>
        <w:spacing w:after="0"/>
        <w:ind w:left="0" w:leftChars="0" w:firstLine="640" w:firstLineChars="200"/>
        <w:rPr>
          <w:rStyle w:val="29"/>
          <w:rFonts w:ascii="Times New Roman" w:hAnsi="Times New Roman" w:eastAsia="黑体"/>
          <w:b w:val="0"/>
          <w:color w:val="auto"/>
          <w:highlight w:val="none"/>
        </w:rPr>
      </w:pPr>
      <w:r>
        <w:rPr>
          <w:rFonts w:hint="eastAsia" w:ascii="Times New Roman" w:hAnsi="Times New Roman" w:eastAsia="黑体"/>
          <w:color w:val="auto"/>
          <w:sz w:val="32"/>
          <w:szCs w:val="32"/>
          <w:highlight w:val="none"/>
        </w:rPr>
        <w:t>五</w:t>
      </w:r>
      <w:r>
        <w:rPr>
          <w:rFonts w:hint="eastAsia" w:ascii="Times New Roman" w:eastAsia="黑体"/>
          <w:color w:val="auto"/>
          <w:sz w:val="32"/>
          <w:szCs w:val="32"/>
          <w:highlight w:val="none"/>
          <w:lang w:eastAsia="zh-CN"/>
        </w:rPr>
        <w:t>、</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30"/>
      <w:bookmarkEnd w:id="31"/>
    </w:p>
    <w:p w14:paraId="789903F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2"/>
    </w:p>
    <w:p w14:paraId="321A81FB">
      <w:pPr>
        <w:spacing w:line="600" w:lineRule="exact"/>
        <w:ind w:firstLine="640"/>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1531.62万元</w:t>
      </w:r>
      <w:r>
        <w:rPr>
          <w:rFonts w:hint="eastAsia" w:ascii="Times New Roman" w:hAnsi="Times New Roman" w:eastAsia="仿宋_GB2312" w:cs="仿宋_GB2312"/>
          <w:color w:val="auto"/>
          <w:kern w:val="2"/>
          <w:sz w:val="32"/>
          <w:szCs w:val="32"/>
          <w:highlight w:val="none"/>
          <w:lang w:val="en-US" w:eastAsia="zh-CN" w:bidi="ar-SA"/>
        </w:rPr>
        <w:t>，占本年支出合计的</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%。与2023年度相比，一般公共预算财政拨款支出</w:t>
      </w:r>
      <w:r>
        <w:rPr>
          <w:rFonts w:hint="eastAsia" w:eastAsia="仿宋_GB2312" w:cs="仿宋_GB2312"/>
          <w:color w:val="auto"/>
          <w:kern w:val="2"/>
          <w:sz w:val="32"/>
          <w:szCs w:val="32"/>
          <w:highlight w:val="none"/>
          <w:lang w:val="en-US" w:eastAsia="zh-CN" w:bidi="ar-SA"/>
        </w:rPr>
        <w:t>减少</w:t>
      </w:r>
      <w:r>
        <w:rPr>
          <w:rFonts w:hint="eastAsia" w:ascii="仿宋_GB2312" w:hAnsi="仿宋" w:eastAsia="仿宋_GB2312"/>
          <w:sz w:val="32"/>
          <w:szCs w:val="32"/>
          <w:lang w:val="en-US" w:eastAsia="zh-CN"/>
        </w:rPr>
        <w:t>0.70</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率</w:t>
      </w:r>
      <w:r>
        <w:rPr>
          <w:rFonts w:hint="eastAsia" w:ascii="仿宋_GB2312" w:hAnsi="仿宋" w:eastAsia="仿宋_GB2312"/>
          <w:sz w:val="32"/>
          <w:szCs w:val="32"/>
          <w:lang w:val="en-US" w:eastAsia="zh-CN"/>
        </w:rPr>
        <w:t>0.04</w:t>
      </w:r>
      <w:r>
        <w:rPr>
          <w:rFonts w:hint="eastAsia" w:ascii="仿宋_GB2312" w:hAnsi="仿宋" w:eastAsia="仿宋_GB2312"/>
          <w:sz w:val="32"/>
          <w:szCs w:val="32"/>
        </w:rPr>
        <w:t>%，</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预算指标减少。</w:t>
      </w:r>
    </w:p>
    <w:p w14:paraId="3F43BC6D">
      <w:pPr>
        <w:pStyle w:val="14"/>
        <w:rPr>
          <w:rFonts w:hint="eastAsia" w:eastAsia="仿宋_GB2312" w:cs="仿宋_GB2312"/>
          <w:color w:val="auto"/>
          <w:sz w:val="32"/>
          <w:szCs w:val="32"/>
          <w:highlight w:val="none"/>
          <w:lang w:eastAsia="zh-CN"/>
        </w:rPr>
      </w:pPr>
    </w:p>
    <w:p w14:paraId="36F85751">
      <w:pPr>
        <w:pStyle w:val="8"/>
        <w:rPr>
          <w:rFonts w:hint="eastAsia" w:eastAsia="仿宋_GB2312" w:cs="仿宋_GB2312"/>
          <w:color w:val="auto"/>
          <w:sz w:val="32"/>
          <w:szCs w:val="32"/>
          <w:highlight w:val="none"/>
          <w:lang w:eastAsia="zh-CN"/>
        </w:rPr>
      </w:pPr>
    </w:p>
    <w:p w14:paraId="15A177BB">
      <w:pPr>
        <w:spacing w:line="600" w:lineRule="exact"/>
        <w:ind w:firstLine="640"/>
        <w:rPr>
          <w:rFonts w:hint="eastAsia" w:ascii="Times New Roman" w:hAnsi="Times New Roman" w:eastAsia="仿宋_GB2312" w:cs="仿宋_GB2312"/>
          <w:color w:val="auto"/>
          <w:spacing w:val="-20"/>
          <w:kern w:val="2"/>
          <w:sz w:val="32"/>
          <w:szCs w:val="32"/>
          <w:highlight w:val="none"/>
          <w:lang w:val="en-US" w:eastAsia="zh-CN" w:bidi="ar-SA"/>
        </w:rPr>
      </w:pPr>
      <w:r>
        <w:rPr>
          <w:rFonts w:hint="eastAsia" w:ascii="Times New Roman" w:hAnsi="Times New Roman" w:eastAsia="仿宋_GB2312" w:cs="仿宋_GB2312"/>
          <w:color w:val="auto"/>
          <w:spacing w:val="-20"/>
          <w:kern w:val="2"/>
          <w:sz w:val="32"/>
          <w:szCs w:val="32"/>
          <w:highlight w:val="none"/>
          <w:lang w:val="en-US" w:eastAsia="zh-CN" w:bidi="ar-SA"/>
        </w:rPr>
        <w:t>（图5：一般公共预算财政拨款支出决算变动情况）（柱状图）</w:t>
      </w:r>
    </w:p>
    <w:p w14:paraId="2E648197">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09F890CF">
      <w:pPr>
        <w:pStyle w:val="2"/>
        <w:rPr>
          <w:rFonts w:hint="eastAsia" w:ascii="Times New Roman" w:hAnsi="Times New Roman" w:eastAsia="仿宋_GB2312" w:cs="仿宋_GB2312"/>
          <w:color w:val="auto"/>
          <w:spacing w:val="-20"/>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533400</wp:posOffset>
            </wp:positionH>
            <wp:positionV relativeFrom="paragraph">
              <wp:posOffset>51435</wp:posOffset>
            </wp:positionV>
            <wp:extent cx="4572000" cy="2743200"/>
            <wp:effectExtent l="4445" t="4445" r="10160" b="8255"/>
            <wp:wrapSquare wrapText="bothSides"/>
            <wp:docPr id="113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43D3CC6">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771AA01D">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497469F8">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5998683A">
      <w:pPr>
        <w:pStyle w:val="2"/>
        <w:rPr>
          <w:rFonts w:hint="eastAsia" w:ascii="Times New Roman" w:hAnsi="Times New Roman" w:eastAsia="仿宋_GB2312" w:cs="仿宋_GB2312"/>
          <w:color w:val="auto"/>
          <w:spacing w:val="-20"/>
          <w:kern w:val="2"/>
          <w:sz w:val="32"/>
          <w:szCs w:val="32"/>
          <w:highlight w:val="none"/>
          <w:lang w:val="en-US" w:eastAsia="zh-CN" w:bidi="ar-SA"/>
        </w:rPr>
      </w:pPr>
    </w:p>
    <w:p w14:paraId="35C22E9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3"/>
    </w:p>
    <w:p w14:paraId="39DE50F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eastAsia="仿宋_GB2312" w:cs="仿宋_GB2312"/>
          <w:color w:val="auto"/>
          <w:kern w:val="2"/>
          <w:sz w:val="32"/>
          <w:szCs w:val="32"/>
          <w:highlight w:val="none"/>
          <w:lang w:val="en-US" w:eastAsia="zh-CN" w:bidi="ar-SA"/>
        </w:rPr>
        <w:t>1531.62</w:t>
      </w:r>
      <w:r>
        <w:rPr>
          <w:rFonts w:hint="eastAsia" w:ascii="Times New Roman" w:hAnsi="Times New Roman" w:eastAsia="仿宋_GB2312" w:cs="仿宋_GB2312"/>
          <w:color w:val="auto"/>
          <w:kern w:val="2"/>
          <w:sz w:val="32"/>
          <w:szCs w:val="32"/>
          <w:highlight w:val="none"/>
          <w:lang w:val="en-US" w:eastAsia="zh-CN" w:bidi="ar-SA"/>
        </w:rPr>
        <w:t>万元，主要用于以下方面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1410.06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92</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121.56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ECA21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67BA65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3810</wp:posOffset>
            </wp:positionH>
            <wp:positionV relativeFrom="paragraph">
              <wp:posOffset>248285</wp:posOffset>
            </wp:positionV>
            <wp:extent cx="5273040" cy="2599690"/>
            <wp:effectExtent l="4445" t="4445" r="17780" b="13970"/>
            <wp:wrapSquare wrapText="bothSides"/>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AD6A26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4" w:name="_Toc15377212"/>
    </w:p>
    <w:p w14:paraId="1DA1D9D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0A58CC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50EF5F7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BEF6A4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5D3FF2A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5952EF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5BED3F0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4"/>
    </w:p>
    <w:p w14:paraId="2C53FE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5" w:name="_Toc15377213"/>
      <w:bookmarkStart w:id="36" w:name="_Toc15378460"/>
      <w:bookmarkStart w:id="37" w:name="_Toc15377444"/>
      <w:r>
        <w:rPr>
          <w:rFonts w:hint="eastAsia" w:ascii="Times New Roman" w:hAnsi="Times New Roman" w:eastAsia="仿宋_GB2312" w:cs="仿宋_GB2312"/>
          <w:color w:val="auto"/>
          <w:kern w:val="2"/>
          <w:sz w:val="32"/>
          <w:szCs w:val="32"/>
          <w:highlight w:val="none"/>
          <w:lang w:val="en-US" w:eastAsia="zh-CN" w:bidi="ar-SA"/>
        </w:rPr>
        <w:t>2024年度一般公共预算财政拨款支出（Z08表1栏）决算数为</w:t>
      </w:r>
      <w:r>
        <w:rPr>
          <w:rFonts w:hint="eastAsia" w:eastAsia="仿宋_GB2312" w:cs="仿宋_GB2312"/>
          <w:color w:val="auto"/>
          <w:kern w:val="2"/>
          <w:sz w:val="32"/>
          <w:szCs w:val="32"/>
          <w:highlight w:val="none"/>
          <w:lang w:val="en-US" w:eastAsia="zh-CN" w:bidi="ar-SA"/>
        </w:rPr>
        <w:t>1531.62</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100.00</w:t>
      </w:r>
      <w:r>
        <w:rPr>
          <w:rFonts w:hint="eastAsia" w:ascii="Times New Roman" w:hAnsi="Times New Roman" w:eastAsia="仿宋_GB2312" w:cs="仿宋_GB2312"/>
          <w:color w:val="auto"/>
          <w:kern w:val="2"/>
          <w:sz w:val="32"/>
          <w:szCs w:val="32"/>
          <w:highlight w:val="none"/>
          <w:lang w:val="en-US" w:eastAsia="zh-CN" w:bidi="ar-SA"/>
        </w:rPr>
        <w:t>%。其中：</w:t>
      </w:r>
      <w:bookmarkEnd w:id="35"/>
      <w:bookmarkEnd w:id="36"/>
      <w:bookmarkEnd w:id="37"/>
    </w:p>
    <w:p w14:paraId="284054E1">
      <w:pPr>
        <w:numPr>
          <w:ilvl w:val="0"/>
          <w:numId w:val="0"/>
        </w:num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w:t>
      </w:r>
      <w:r>
        <w:rPr>
          <w:rFonts w:hint="eastAsia" w:eastAsia="仿宋_GB2312" w:cs="仿宋_GB2312"/>
          <w:color w:val="auto"/>
          <w:kern w:val="2"/>
          <w:sz w:val="32"/>
          <w:szCs w:val="32"/>
          <w:highlight w:val="none"/>
          <w:lang w:val="en-US" w:eastAsia="zh-CN" w:bidi="ar-SA"/>
        </w:rPr>
        <w:t>一</w:t>
      </w:r>
      <w:r>
        <w:rPr>
          <w:rFonts w:hint="eastAsia" w:ascii="Times New Roman" w:hAnsi="Times New Roman" w:eastAsia="仿宋_GB2312" w:cs="仿宋_GB2312"/>
          <w:color w:val="auto"/>
          <w:kern w:val="2"/>
          <w:sz w:val="32"/>
          <w:szCs w:val="32"/>
          <w:highlight w:val="none"/>
          <w:lang w:val="en-US" w:eastAsia="zh-CN" w:bidi="ar-SA"/>
        </w:rPr>
        <w:t>般行政管理事务（项）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1410.06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AD2DC18">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公共卫生</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重大公共卫生</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11.94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589BA20">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其他卫生健康支出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其他卫生健康支出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109.62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D9C25BA">
      <w:pPr>
        <w:tabs>
          <w:tab w:val="right" w:pos="8306"/>
        </w:tabs>
        <w:spacing w:line="600" w:lineRule="exact"/>
        <w:ind w:firstLine="640"/>
        <w:outlineLvl w:val="1"/>
        <w:rPr>
          <w:rStyle w:val="29"/>
          <w:rFonts w:ascii="Times New Roman" w:hAnsi="Times New Roman"/>
          <w:color w:val="auto"/>
          <w:highlight w:val="none"/>
        </w:rPr>
      </w:pPr>
      <w:bookmarkStart w:id="38" w:name="_Toc15377214"/>
      <w:bookmarkStart w:id="39"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8"/>
      <w:bookmarkEnd w:id="39"/>
      <w:r>
        <w:rPr>
          <w:rStyle w:val="29"/>
          <w:rFonts w:ascii="Times New Roman" w:hAnsi="Times New Roman" w:eastAsia="黑体"/>
          <w:b w:val="0"/>
          <w:color w:val="auto"/>
          <w:highlight w:val="none"/>
        </w:rPr>
        <w:tab/>
      </w:r>
    </w:p>
    <w:p w14:paraId="259316FC">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55706AB5">
      <w:pPr>
        <w:pStyle w:val="2"/>
        <w:ind w:firstLine="640" w:firstLineChars="200"/>
        <w:rPr>
          <w:rFonts w:hint="default"/>
          <w:lang w:val="en-US" w:eastAsia="zh-CN"/>
        </w:rPr>
      </w:pPr>
      <w:r>
        <w:rPr>
          <w:rFonts w:hint="eastAsia" w:eastAsia="仿宋_GB2312" w:cs="仿宋_GB2312"/>
          <w:color w:val="auto"/>
          <w:kern w:val="2"/>
          <w:sz w:val="32"/>
          <w:szCs w:val="32"/>
          <w:highlight w:val="none"/>
          <w:lang w:val="en-US" w:eastAsia="zh-CN" w:bidi="ar-SA"/>
        </w:rPr>
        <w:t>我单位非定额公用经费，根据科目书规定纳入项目支出。</w:t>
      </w:r>
    </w:p>
    <w:p w14:paraId="69A1A49C">
      <w:pPr>
        <w:spacing w:line="600" w:lineRule="exact"/>
        <w:ind w:firstLine="640"/>
        <w:outlineLvl w:val="1"/>
        <w:rPr>
          <w:rStyle w:val="29"/>
          <w:rFonts w:ascii="Times New Roman" w:hAnsi="Times New Roman" w:eastAsia="黑体"/>
          <w:b w:val="0"/>
          <w:color w:val="auto"/>
          <w:highlight w:val="none"/>
        </w:rPr>
      </w:pPr>
      <w:bookmarkStart w:id="40" w:name="_Toc15396609"/>
      <w:bookmarkStart w:id="41"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40"/>
      <w:bookmarkEnd w:id="41"/>
    </w:p>
    <w:p w14:paraId="28953E4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2"/>
    </w:p>
    <w:p w14:paraId="610F2E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eastAsia="仿宋_GB2312" w:cs="仿宋_GB2312"/>
          <w:color w:val="auto"/>
          <w:kern w:val="2"/>
          <w:sz w:val="32"/>
          <w:szCs w:val="32"/>
          <w:highlight w:val="none"/>
          <w:lang w:val="en-US" w:eastAsia="zh-CN" w:bidi="ar-SA"/>
        </w:rPr>
        <w:t>98.48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100.00</w:t>
      </w:r>
      <w:r>
        <w:rPr>
          <w:rFonts w:hint="eastAsia" w:ascii="Times New Roman" w:hAnsi="Times New Roman" w:eastAsia="仿宋_GB2312" w:cs="仿宋_GB2312"/>
          <w:color w:val="auto"/>
          <w:kern w:val="2"/>
          <w:sz w:val="32"/>
          <w:szCs w:val="32"/>
          <w:highlight w:val="none"/>
          <w:lang w:val="en-US" w:eastAsia="zh-CN" w:bidi="ar-SA"/>
        </w:rPr>
        <w:t>%，较上年度增加/减少</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%。与预算数持平</w:t>
      </w:r>
      <w:r>
        <w:rPr>
          <w:rFonts w:hint="eastAsia" w:eastAsia="仿宋_GB2312" w:cs="仿宋_GB2312"/>
          <w:color w:val="auto"/>
          <w:kern w:val="2"/>
          <w:sz w:val="32"/>
          <w:szCs w:val="32"/>
          <w:highlight w:val="none"/>
          <w:lang w:val="en-US" w:eastAsia="zh-CN" w:bidi="ar-SA"/>
        </w:rPr>
        <w:t>。</w:t>
      </w:r>
    </w:p>
    <w:p w14:paraId="6B29D15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3"/>
    </w:p>
    <w:p w14:paraId="1C95340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96.99</w:t>
      </w:r>
      <w:r>
        <w:rPr>
          <w:rFonts w:hint="eastAsia" w:ascii="Times New Roman" w:hAnsi="Times New Roman" w:eastAsia="仿宋_GB2312" w:cs="仿宋_GB2312"/>
          <w:color w:val="auto"/>
          <w:kern w:val="2"/>
          <w:sz w:val="32"/>
          <w:szCs w:val="32"/>
          <w:highlight w:val="none"/>
          <w:lang w:val="en-US" w:eastAsia="zh-CN" w:bidi="ar-SA"/>
        </w:rPr>
        <w:t>万元，占**%；公务接待费支出决算</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万元，占**%。具体情况如下：</w:t>
      </w:r>
    </w:p>
    <w:p w14:paraId="62A64EF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1C146A89">
      <w:pPr>
        <w:pStyle w:val="14"/>
      </w:pPr>
      <w:r>
        <w:drawing>
          <wp:anchor distT="0" distB="0" distL="114300" distR="114300" simplePos="0" relativeHeight="251664384" behindDoc="0" locked="0" layoutInCell="1" allowOverlap="1">
            <wp:simplePos x="0" y="0"/>
            <wp:positionH relativeFrom="column">
              <wp:posOffset>289560</wp:posOffset>
            </wp:positionH>
            <wp:positionV relativeFrom="paragraph">
              <wp:posOffset>210185</wp:posOffset>
            </wp:positionV>
            <wp:extent cx="4732020" cy="2813685"/>
            <wp:effectExtent l="4445" t="4445" r="7620" b="16510"/>
            <wp:wrapSquare wrapText="bothSides"/>
            <wp:docPr id="112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5B65245">
      <w:pPr>
        <w:pStyle w:val="14"/>
      </w:pPr>
    </w:p>
    <w:p w14:paraId="1A707808">
      <w:pPr>
        <w:pStyle w:val="14"/>
      </w:pPr>
    </w:p>
    <w:p w14:paraId="7BAF2312">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67B2A93D">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44CF9DFF">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4B0C8478">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2A95B834">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70D754F4">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5BF10DF3">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92AF7B5">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6EDD619">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C753A02">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2487A14">
      <w:pPr>
        <w:pStyle w:val="14"/>
        <w:ind w:firstLine="643" w:firstLineChars="200"/>
        <w:rPr>
          <w:rFonts w:hint="eastAsia" w:ascii="Times New Roman" w:hAnsi="Times New Roman" w:eastAsia="仿宋_GB2312" w:cs="仿宋_GB2312"/>
          <w:b/>
          <w:bCs/>
          <w:color w:val="auto"/>
          <w:kern w:val="2"/>
          <w:sz w:val="32"/>
          <w:szCs w:val="32"/>
          <w:highlight w:val="none"/>
          <w:lang w:val="en-US" w:eastAsia="zh-CN" w:bidi="ar-SA"/>
        </w:rPr>
      </w:pPr>
    </w:p>
    <w:p w14:paraId="3FA1727F">
      <w:pPr>
        <w:pStyle w:val="8"/>
        <w:rPr>
          <w:rFonts w:hint="eastAsia" w:ascii="Times New Roman" w:hAnsi="Times New Roman" w:eastAsia="仿宋_GB2312" w:cs="仿宋_GB2312"/>
          <w:b/>
          <w:bCs/>
          <w:color w:val="auto"/>
          <w:kern w:val="2"/>
          <w:sz w:val="32"/>
          <w:szCs w:val="32"/>
          <w:highlight w:val="none"/>
          <w:lang w:val="en-US" w:eastAsia="zh-CN" w:bidi="ar-SA"/>
        </w:rPr>
      </w:pPr>
    </w:p>
    <w:p w14:paraId="19F75ECE">
      <w:pPr>
        <w:pStyle w:val="8"/>
        <w:rPr>
          <w:rFonts w:hint="eastAsia" w:ascii="Times New Roman" w:hAnsi="Times New Roman" w:eastAsia="仿宋_GB2312" w:cs="仿宋_GB2312"/>
          <w:b/>
          <w:bCs/>
          <w:color w:val="auto"/>
          <w:kern w:val="2"/>
          <w:sz w:val="32"/>
          <w:szCs w:val="32"/>
          <w:highlight w:val="none"/>
          <w:lang w:val="en-US" w:eastAsia="zh-CN" w:bidi="ar-SA"/>
        </w:rPr>
      </w:pPr>
    </w:p>
    <w:p w14:paraId="6891A5E8">
      <w:pPr>
        <w:pStyle w:val="14"/>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0.00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0.00</w:t>
      </w:r>
      <w:r>
        <w:rPr>
          <w:rFonts w:hint="eastAsia" w:ascii="Times New Roman" w:hAnsi="Times New Roman" w:eastAsia="仿宋_GB2312" w:cs="仿宋_GB2312"/>
          <w:b/>
          <w:bCs/>
          <w:color w:val="auto"/>
          <w:kern w:val="2"/>
          <w:sz w:val="32"/>
          <w:szCs w:val="32"/>
          <w:highlight w:val="none"/>
          <w:lang w:val="en-US" w:eastAsia="zh-CN" w:bidi="ar-SA"/>
        </w:rPr>
        <w:t>%。</w:t>
      </w:r>
    </w:p>
    <w:p w14:paraId="6507A3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eastAsia="仿宋_GB2312" w:cs="仿宋_GB2312"/>
          <w:b/>
          <w:bCs/>
          <w:color w:val="auto"/>
          <w:kern w:val="2"/>
          <w:sz w:val="32"/>
          <w:szCs w:val="32"/>
          <w:highlight w:val="none"/>
          <w:lang w:val="en-US" w:eastAsia="zh-CN" w:bidi="ar-SA"/>
        </w:rPr>
        <w:t>96.99</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0.0009</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0.0001</w:t>
      </w:r>
      <w:r>
        <w:rPr>
          <w:rFonts w:hint="eastAsia" w:ascii="Times New Roman" w:hAnsi="Times New Roman" w:eastAsia="仿宋_GB2312" w:cs="仿宋_GB2312"/>
          <w:color w:val="auto"/>
          <w:kern w:val="2"/>
          <w:sz w:val="32"/>
          <w:szCs w:val="32"/>
          <w:highlight w:val="none"/>
          <w:lang w:val="en-US" w:eastAsia="zh-CN" w:bidi="ar-SA"/>
        </w:rPr>
        <w:t>%。</w:t>
      </w:r>
    </w:p>
    <w:p w14:paraId="7A8FAE9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44</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w:t>
      </w:r>
    </w:p>
    <w:p w14:paraId="04F00145">
      <w:pPr>
        <w:snapToGrid w:val="0"/>
        <w:spacing w:line="560" w:lineRule="exact"/>
        <w:ind w:firstLine="640" w:firstLineChars="200"/>
        <w:rPr>
          <w:rFonts w:hint="eastAsia"/>
          <w:lang w:val="en-US" w:eastAsia="zh-CN"/>
        </w:rPr>
      </w:pPr>
      <w:r>
        <w:rPr>
          <w:rFonts w:hint="eastAsia" w:ascii="仿宋_GB2312" w:hAnsi="仿宋" w:eastAsia="仿宋_GB2312"/>
          <w:sz w:val="32"/>
          <w:szCs w:val="32"/>
        </w:rPr>
        <w:t>公务用车购置方面，均未使用省拨资金购置车辆。公务用车保有量为</w:t>
      </w:r>
      <w:r>
        <w:rPr>
          <w:rFonts w:hint="eastAsia" w:ascii="仿宋_GB2312" w:hAnsi="仿宋" w:eastAsia="仿宋_GB2312"/>
          <w:sz w:val="32"/>
          <w:szCs w:val="32"/>
          <w:lang w:val="en-US" w:eastAsia="zh-CN"/>
        </w:rPr>
        <w:t>4</w:t>
      </w:r>
      <w:r>
        <w:rPr>
          <w:rFonts w:hint="eastAsia" w:ascii="仿宋_GB2312" w:hAnsi="仿宋" w:eastAsia="仿宋_GB2312"/>
          <w:sz w:val="32"/>
          <w:szCs w:val="32"/>
        </w:rPr>
        <w:t>4辆，因已在财政部报备资产信息，不重复</w:t>
      </w:r>
      <w:r>
        <w:rPr>
          <w:rFonts w:hint="eastAsia" w:ascii="仿宋_GB2312" w:hAnsi="仿宋" w:eastAsia="仿宋_GB2312"/>
          <w:sz w:val="32"/>
          <w:szCs w:val="32"/>
          <w:lang w:eastAsia="zh-CN"/>
        </w:rPr>
        <w:t>报送。</w:t>
      </w:r>
    </w:p>
    <w:p w14:paraId="7F520E68">
      <w:pPr>
        <w:spacing w:line="600" w:lineRule="exact"/>
        <w:ind w:firstLine="640"/>
        <w:rPr>
          <w:rFonts w:hint="eastAsia" w:ascii="仿宋_GB2312" w:hAnsi="仿宋" w:eastAsia="仿宋_GB2312"/>
          <w:bCs/>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公务用车运行维护费支出</w:t>
      </w:r>
      <w:r>
        <w:rPr>
          <w:rFonts w:hint="eastAsia" w:eastAsia="仿宋_GB2312" w:cs="仿宋_GB2312"/>
          <w:color w:val="auto"/>
          <w:kern w:val="2"/>
          <w:sz w:val="32"/>
          <w:szCs w:val="32"/>
          <w:highlight w:val="none"/>
          <w:lang w:val="en-US" w:eastAsia="zh-CN" w:bidi="ar-SA"/>
        </w:rPr>
        <w:t>96.99</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hAnsi="仿宋" w:eastAsia="仿宋_GB2312"/>
          <w:bCs/>
          <w:sz w:val="32"/>
          <w:szCs w:val="32"/>
        </w:rPr>
        <w:t>该支出主要用于2</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rPr>
        <w:t>个职能局（委、办）部门公务用车的机要文件传递、参加省市会议、对接扶贫工作、武装押运等工作所需燃料费、维修费、保险费等支出，以及车辆租赁等相关费用。</w:t>
      </w:r>
    </w:p>
    <w:p w14:paraId="7286ED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eastAsia="仿宋_GB2312" w:cs="仿宋_GB2312"/>
          <w:b/>
          <w:bCs/>
          <w:color w:val="auto"/>
          <w:kern w:val="2"/>
          <w:sz w:val="32"/>
          <w:szCs w:val="32"/>
          <w:highlight w:val="none"/>
          <w:lang w:val="en-US" w:eastAsia="zh-CN" w:bidi="ar-SA"/>
        </w:rPr>
        <w:t>1.48</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92.69</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0.12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7.32</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 w:eastAsia="仿宋_GB2312" w:cs="仿宋"/>
          <w:color w:val="000000"/>
          <w:sz w:val="32"/>
          <w:szCs w:val="32"/>
        </w:rPr>
        <w:t>该项支出主要用于</w:t>
      </w:r>
      <w:r>
        <w:rPr>
          <w:rFonts w:hint="eastAsia" w:ascii="仿宋_GB2312" w:hAnsi="仿宋" w:eastAsia="仿宋_GB2312"/>
          <w:bCs/>
          <w:sz w:val="32"/>
          <w:szCs w:val="32"/>
        </w:rPr>
        <w:t>接待各职能部门、协作企业、社会团体用餐、交通等费用；</w:t>
      </w:r>
      <w:r>
        <w:rPr>
          <w:rFonts w:hint="eastAsia" w:ascii="Times New Roman" w:hAnsi="Times New Roman" w:eastAsia="仿宋_GB2312" w:cs="仿宋_GB2312"/>
          <w:color w:val="auto"/>
          <w:kern w:val="2"/>
          <w:sz w:val="32"/>
          <w:szCs w:val="32"/>
          <w:highlight w:val="none"/>
          <w:lang w:val="en-US" w:eastAsia="zh-CN" w:bidi="ar-SA"/>
        </w:rPr>
        <w:t>。其中：</w:t>
      </w:r>
    </w:p>
    <w:p w14:paraId="03FBCC85">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国内公务接待支出</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hAnsi="仿宋" w:eastAsia="仿宋_GB2312" w:cs="仿宋"/>
          <w:color w:val="000000"/>
          <w:sz w:val="32"/>
          <w:szCs w:val="32"/>
        </w:rPr>
        <w:t>主要用于</w:t>
      </w:r>
      <w:r>
        <w:rPr>
          <w:rFonts w:hint="eastAsia" w:ascii="仿宋_GB2312" w:hAnsi="仿宋" w:eastAsia="仿宋_GB2312"/>
          <w:bCs/>
          <w:sz w:val="32"/>
          <w:szCs w:val="32"/>
        </w:rPr>
        <w:t>接待各职能部门、协作企业、社会团体用餐、交通等费用</w:t>
      </w:r>
      <w:r>
        <w:rPr>
          <w:rFonts w:hint="eastAsia" w:ascii="Times New Roman" w:hAnsi="Times New Roman" w:eastAsia="仿宋_GB2312" w:cs="仿宋_GB2312"/>
          <w:color w:val="auto"/>
          <w:kern w:val="2"/>
          <w:sz w:val="32"/>
          <w:szCs w:val="32"/>
          <w:highlight w:val="none"/>
          <w:lang w:val="en-US" w:eastAsia="zh-CN" w:bidi="ar-SA"/>
        </w:rPr>
        <w:t>。国内公务接待</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批次，</w:t>
      </w:r>
      <w:r>
        <w:rPr>
          <w:rFonts w:hint="eastAsia" w:eastAsia="仿宋_GB2312" w:cs="仿宋_GB2312"/>
          <w:color w:val="auto"/>
          <w:kern w:val="2"/>
          <w:sz w:val="32"/>
          <w:szCs w:val="32"/>
          <w:highlight w:val="none"/>
          <w:lang w:val="en-US" w:eastAsia="zh-CN" w:bidi="ar-SA"/>
        </w:rPr>
        <w:t>64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1.48</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 xml:space="preserve">      </w:t>
      </w:r>
    </w:p>
    <w:p w14:paraId="6832DC42">
      <w:pPr>
        <w:numPr>
          <w:ilvl w:val="0"/>
          <w:numId w:val="3"/>
        </w:numPr>
        <w:spacing w:line="600" w:lineRule="exact"/>
        <w:ind w:firstLine="640"/>
        <w:rPr>
          <w:rFonts w:hint="eastAsia" w:eastAsia="仿宋_GB2312" w:cs="仿宋_GB2312"/>
          <w:color w:val="auto"/>
          <w:kern w:val="2"/>
          <w:sz w:val="32"/>
          <w:szCs w:val="32"/>
          <w:highlight w:val="none"/>
          <w:lang w:val="en-US" w:eastAsia="zh-CN" w:bidi="ar-SA"/>
        </w:rPr>
      </w:pPr>
      <w:r>
        <w:rPr>
          <w:rFonts w:hint="eastAsia" w:ascii="仿宋" w:hAnsi="Calibri" w:eastAsia="仿宋_GB2312" w:cs="仿宋_GB2312"/>
          <w:color w:val="auto"/>
          <w:kern w:val="2"/>
          <w:sz w:val="32"/>
          <w:szCs w:val="32"/>
          <w:highlight w:val="none"/>
          <w:lang w:val="en-US" w:eastAsia="zh-CN" w:bidi="ar-SA"/>
        </w:rPr>
        <w:t xml:space="preserve"> 2024</w:t>
      </w:r>
      <w:r>
        <w:rPr>
          <w:rFonts w:hint="eastAsia" w:eastAsia="仿宋_GB2312" w:cs="仿宋_GB2312"/>
          <w:color w:val="auto"/>
          <w:kern w:val="2"/>
          <w:sz w:val="32"/>
          <w:szCs w:val="32"/>
          <w:highlight w:val="none"/>
          <w:lang w:val="en-US" w:eastAsia="zh-CN" w:bidi="ar-SA"/>
        </w:rPr>
        <w:t>年春季征兵工作接待；0.06万元。</w:t>
      </w:r>
    </w:p>
    <w:p w14:paraId="7DAAF1DB">
      <w:pPr>
        <w:pStyle w:val="2"/>
        <w:numPr>
          <w:ilvl w:val="0"/>
          <w:numId w:val="2"/>
        </w:numPr>
        <w:ind w:left="1152" w:leftChars="0" w:hanging="480" w:firstLineChars="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检查指导军工安保信息化现场会筹备情况；0.23万元。</w:t>
      </w:r>
    </w:p>
    <w:p w14:paraId="2B5A3455">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2023年全市公安机关执法质量考评会；0.11万元。</w:t>
      </w:r>
    </w:p>
    <w:p w14:paraId="439D2E01">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2023年度富平县特色产业品牌建设项目交流座谈；0.06万元。</w:t>
      </w:r>
    </w:p>
    <w:p w14:paraId="74A6AE0F">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网络和数据安全交叉检查；0.03万元。</w:t>
      </w:r>
    </w:p>
    <w:p w14:paraId="5F27290C">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2025年医疗帮扶工作计划对接0.27万元。</w:t>
      </w:r>
    </w:p>
    <w:p w14:paraId="051C702B">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绵阳市人民政府教育督导团对学前教育普及普惠发展实地核查；0.23万元。</w:t>
      </w:r>
    </w:p>
    <w:p w14:paraId="7841B5EE">
      <w:pPr>
        <w:pStyle w:val="2"/>
        <w:numPr>
          <w:ilvl w:val="0"/>
          <w:numId w:val="2"/>
        </w:numPr>
        <w:ind w:left="1152" w:leftChars="0" w:hanging="480" w:firstLineChars="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2023年度项目资料审核交流0.16万元。</w:t>
      </w:r>
    </w:p>
    <w:p w14:paraId="73672A53">
      <w:pPr>
        <w:numPr>
          <w:ilvl w:val="0"/>
          <w:numId w:val="2"/>
        </w:numPr>
        <w:spacing w:line="600" w:lineRule="exact"/>
        <w:ind w:left="1152" w:leftChars="0" w:hanging="480" w:firstLineChars="0"/>
        <w:outlineLvl w:val="1"/>
        <w:rPr>
          <w:rFonts w:hint="eastAsia" w:eastAsia="仿宋_GB2312" w:cs="仿宋_GB2312"/>
          <w:color w:val="auto"/>
          <w:kern w:val="2"/>
          <w:sz w:val="32"/>
          <w:szCs w:val="32"/>
          <w:highlight w:val="none"/>
          <w:lang w:val="en-US" w:eastAsia="zh-CN" w:bidi="ar-SA"/>
        </w:rPr>
      </w:pPr>
      <w:bookmarkStart w:id="44" w:name="_Toc15377218"/>
      <w:bookmarkStart w:id="45" w:name="_Toc15396610"/>
      <w:r>
        <w:rPr>
          <w:rFonts w:hint="eastAsia" w:eastAsia="仿宋_GB2312" w:cs="仿宋_GB2312"/>
          <w:color w:val="auto"/>
          <w:kern w:val="2"/>
          <w:sz w:val="32"/>
          <w:szCs w:val="32"/>
          <w:highlight w:val="none"/>
          <w:lang w:val="en-US" w:eastAsia="zh-CN" w:bidi="ar-SA"/>
        </w:rPr>
        <w:t>四川省教育厅对科学城省学前教育普及普惠发展级督导评估实地检查；0.33万元。</w:t>
      </w:r>
    </w:p>
    <w:p w14:paraId="55B71E1F">
      <w:pPr>
        <w:numPr>
          <w:ilvl w:val="0"/>
          <w:numId w:val="0"/>
        </w:numPr>
        <w:spacing w:line="600" w:lineRule="exact"/>
        <w:ind w:left="672" w:leftChars="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4"/>
      <w:bookmarkEnd w:id="45"/>
    </w:p>
    <w:p w14:paraId="342E3E17">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2024年度政府性基金预算财政拨款支出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万元，占本年支出合计</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w:t>
      </w:r>
    </w:p>
    <w:p w14:paraId="1FCF4E6C">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6" w:name="_Toc15396611"/>
      <w:bookmarkStart w:id="47"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6"/>
      <w:bookmarkEnd w:id="47"/>
    </w:p>
    <w:p w14:paraId="6DFAAD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w:t>
      </w:r>
    </w:p>
    <w:p w14:paraId="4082EFED">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8" w:name="_Toc15396612"/>
      <w:bookmarkStart w:id="49"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8"/>
      <w:bookmarkEnd w:id="49"/>
    </w:p>
    <w:p w14:paraId="0B9C50C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2"/>
      <w:r>
        <w:rPr>
          <w:rFonts w:hint="eastAsia" w:ascii="Times New Roman" w:hAnsi="Times New Roman" w:eastAsia="楷体_GB2312" w:cs="楷体_GB2312"/>
          <w:b/>
          <w:color w:val="auto"/>
          <w:sz w:val="32"/>
          <w:szCs w:val="32"/>
          <w:highlight w:val="none"/>
        </w:rPr>
        <w:t>（一）机关运行经费支出情况</w:t>
      </w:r>
      <w:bookmarkEnd w:id="50"/>
    </w:p>
    <w:p w14:paraId="7A5AD00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机关运行经费支出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p>
    <w:p w14:paraId="01297D7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3"/>
      <w:r>
        <w:rPr>
          <w:rFonts w:hint="eastAsia" w:ascii="Times New Roman" w:hAnsi="Times New Roman" w:eastAsia="楷体_GB2312" w:cs="楷体_GB2312"/>
          <w:b/>
          <w:color w:val="auto"/>
          <w:sz w:val="32"/>
          <w:szCs w:val="32"/>
          <w:highlight w:val="none"/>
        </w:rPr>
        <w:t>（二）政府采购支出情况</w:t>
      </w:r>
      <w:bookmarkEnd w:id="51"/>
    </w:p>
    <w:p w14:paraId="435D480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政府采购支出总额</w:t>
      </w:r>
      <w:r>
        <w:rPr>
          <w:rFonts w:hint="eastAsia" w:eastAsia="仿宋_GB2312" w:cs="仿宋_GB2312"/>
          <w:color w:val="auto"/>
          <w:kern w:val="2"/>
          <w:sz w:val="32"/>
          <w:szCs w:val="32"/>
          <w:highlight w:val="none"/>
          <w:lang w:val="en-US" w:eastAsia="zh-CN" w:bidi="ar-SA"/>
        </w:rPr>
        <w:t>321.00</w:t>
      </w:r>
      <w:r>
        <w:rPr>
          <w:rFonts w:hint="eastAsia" w:ascii="Times New Roman" w:hAnsi="Times New Roman"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万元、政府采购工程支出</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kern w:val="2"/>
          <w:sz w:val="32"/>
          <w:szCs w:val="32"/>
          <w:highlight w:val="none"/>
          <w:lang w:val="en-US" w:eastAsia="zh-CN" w:bidi="ar-SA"/>
        </w:rPr>
        <w:t>321.00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公务用车维护费、网络租赁费等</w:t>
      </w:r>
      <w:r>
        <w:rPr>
          <w:rFonts w:hint="eastAsia" w:ascii="Times New Roman" w:hAnsi="Times New Roman" w:eastAsia="仿宋_GB2312" w:cs="仿宋_GB2312"/>
          <w:color w:val="auto"/>
          <w:kern w:val="2"/>
          <w:sz w:val="32"/>
          <w:szCs w:val="32"/>
          <w:highlight w:val="none"/>
          <w:lang w:val="en-US" w:eastAsia="zh-CN" w:bidi="ar-SA"/>
        </w:rPr>
        <w:t>。授予中小企业合同金额</w:t>
      </w:r>
      <w:r>
        <w:rPr>
          <w:rFonts w:hint="eastAsia" w:eastAsia="仿宋_GB2312" w:cs="仿宋_GB2312"/>
          <w:color w:val="auto"/>
          <w:kern w:val="2"/>
          <w:sz w:val="32"/>
          <w:szCs w:val="32"/>
          <w:highlight w:val="none"/>
          <w:lang w:val="en-US" w:eastAsia="zh-CN" w:bidi="ar-SA"/>
        </w:rPr>
        <w:t>100.00</w:t>
      </w:r>
      <w:r>
        <w:rPr>
          <w:rFonts w:hint="eastAsia" w:ascii="Times New Roman" w:hAnsi="Times New Roman" w:eastAsia="仿宋_GB2312" w:cs="仿宋_GB2312"/>
          <w:color w:val="auto"/>
          <w:kern w:val="2"/>
          <w:sz w:val="32"/>
          <w:szCs w:val="32"/>
          <w:highlight w:val="none"/>
          <w:lang w:val="en-US" w:eastAsia="zh-CN" w:bidi="ar-SA"/>
        </w:rPr>
        <w:t>万元，占政府采购支出总额</w:t>
      </w:r>
      <w:r>
        <w:rPr>
          <w:rFonts w:hint="eastAsia" w:eastAsia="仿宋_GB2312" w:cs="仿宋_GB2312"/>
          <w:color w:val="auto"/>
          <w:kern w:val="2"/>
          <w:sz w:val="32"/>
          <w:szCs w:val="32"/>
          <w:highlight w:val="none"/>
          <w:lang w:val="en-US" w:eastAsia="zh-CN" w:bidi="ar-SA"/>
        </w:rPr>
        <w:t>31.16</w:t>
      </w:r>
      <w:r>
        <w:rPr>
          <w:rFonts w:hint="eastAsia" w:ascii="Times New Roman" w:hAnsi="Times New Roman" w:eastAsia="仿宋_GB2312" w:cs="仿宋_GB2312"/>
          <w:color w:val="auto"/>
          <w:kern w:val="2"/>
          <w:sz w:val="32"/>
          <w:szCs w:val="32"/>
          <w:highlight w:val="none"/>
          <w:lang w:val="en-US" w:eastAsia="zh-CN" w:bidi="ar-SA"/>
        </w:rPr>
        <w:t>%，其中：授予小微企业合同金额</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0.00</w:t>
      </w:r>
      <w:r>
        <w:rPr>
          <w:rFonts w:hint="eastAsia" w:ascii="Times New Roman" w:hAnsi="Times New Roman" w:eastAsia="仿宋_GB2312" w:cs="仿宋_GB2312"/>
          <w:color w:val="auto"/>
          <w:kern w:val="2"/>
          <w:sz w:val="32"/>
          <w:szCs w:val="32"/>
          <w:highlight w:val="none"/>
          <w:lang w:val="en-US" w:eastAsia="zh-CN" w:bidi="ar-SA"/>
        </w:rPr>
        <w:t>%。</w:t>
      </w:r>
    </w:p>
    <w:p w14:paraId="011AA52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2" w:name="_Toc15377224"/>
      <w:r>
        <w:rPr>
          <w:rFonts w:hint="eastAsia" w:ascii="Times New Roman" w:hAnsi="Times New Roman" w:eastAsia="楷体_GB2312" w:cs="楷体_GB2312"/>
          <w:b/>
          <w:color w:val="auto"/>
          <w:sz w:val="32"/>
          <w:szCs w:val="32"/>
          <w:highlight w:val="none"/>
        </w:rPr>
        <w:t>（三）国有资产占有使用情况</w:t>
      </w:r>
      <w:bookmarkEnd w:id="52"/>
    </w:p>
    <w:p w14:paraId="4E542DB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年12月31日，</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共有车辆</w:t>
      </w:r>
      <w:r>
        <w:rPr>
          <w:rFonts w:hint="eastAsia" w:eastAsia="仿宋_GB2312" w:cs="仿宋_GB2312"/>
          <w:color w:val="auto"/>
          <w:kern w:val="2"/>
          <w:sz w:val="32"/>
          <w:szCs w:val="32"/>
          <w:highlight w:val="none"/>
          <w:lang w:val="en-US" w:eastAsia="zh-CN" w:bidi="ar-SA"/>
        </w:rPr>
        <w:t>44</w:t>
      </w:r>
      <w:r>
        <w:rPr>
          <w:rFonts w:hint="eastAsia" w:ascii="Times New Roman" w:hAnsi="Times New Roman" w:eastAsia="仿宋_GB2312" w:cs="仿宋_GB2312"/>
          <w:color w:val="auto"/>
          <w:kern w:val="2"/>
          <w:sz w:val="32"/>
          <w:szCs w:val="32"/>
          <w:highlight w:val="none"/>
          <w:lang w:val="en-US" w:eastAsia="zh-CN" w:bidi="ar-SA"/>
        </w:rPr>
        <w:t>辆，其中：应急保障用车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执法执勤用车25</w:t>
      </w:r>
      <w:r>
        <w:rPr>
          <w:rFonts w:hint="eastAsia" w:ascii="Times New Roman" w:hAnsi="Times New Roman" w:eastAsia="仿宋_GB2312" w:cs="仿宋_GB2312"/>
          <w:color w:val="auto"/>
          <w:kern w:val="2"/>
          <w:sz w:val="32"/>
          <w:szCs w:val="32"/>
          <w:highlight w:val="none"/>
          <w:lang w:val="en-US" w:eastAsia="zh-CN" w:bidi="ar-SA"/>
        </w:rPr>
        <w:t>辆</w:t>
      </w:r>
      <w:r>
        <w:rPr>
          <w:rFonts w:hint="eastAsia" w:eastAsia="仿宋_GB2312" w:cs="仿宋_GB2312"/>
          <w:color w:val="auto"/>
          <w:kern w:val="2"/>
          <w:sz w:val="32"/>
          <w:szCs w:val="32"/>
          <w:highlight w:val="none"/>
          <w:lang w:val="en-US" w:eastAsia="zh-CN" w:bidi="ar-SA"/>
        </w:rPr>
        <w:t>、特种专业技术用车17辆</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单价100万元</w:t>
      </w:r>
      <w:r>
        <w:rPr>
          <w:rFonts w:hint="eastAsia" w:eastAsia="仿宋_GB2312" w:cs="仿宋_GB2312"/>
          <w:color w:val="auto"/>
          <w:kern w:val="2"/>
          <w:sz w:val="32"/>
          <w:szCs w:val="32"/>
          <w:highlight w:val="none"/>
          <w:lang w:val="en-US" w:eastAsia="zh-CN" w:bidi="ar-SA"/>
        </w:rPr>
        <w:t>（含）</w:t>
      </w:r>
      <w:r>
        <w:rPr>
          <w:rFonts w:hint="eastAsia" w:ascii="Times New Roman" w:hAnsi="Times New Roman" w:eastAsia="仿宋_GB2312" w:cs="仿宋_GB2312"/>
          <w:color w:val="auto"/>
          <w:kern w:val="2"/>
          <w:sz w:val="32"/>
          <w:szCs w:val="32"/>
          <w:highlight w:val="none"/>
          <w:lang w:val="en-US" w:eastAsia="zh-CN" w:bidi="ar-SA"/>
        </w:rPr>
        <w:t>以上设备（不含车辆）</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台（套）。</w:t>
      </w:r>
    </w:p>
    <w:p w14:paraId="0032538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6A5CA7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在2024年度预算编制阶段，对</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0ABA53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组织对2024年度一般公共预算全面开展绩效自评，形成</w:t>
      </w:r>
      <w:r>
        <w:rPr>
          <w:rFonts w:hint="eastAsia" w:eastAsia="仿宋_GB2312" w:cs="仿宋_GB2312"/>
          <w:color w:val="auto"/>
          <w:kern w:val="2"/>
          <w:sz w:val="32"/>
          <w:szCs w:val="32"/>
          <w:highlight w:val="none"/>
          <w:lang w:val="en-US" w:eastAsia="zh-CN" w:bidi="ar-SA"/>
        </w:rPr>
        <w:t>四川省人民政府科学城办事处</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98.97</w:t>
      </w:r>
      <w:r>
        <w:rPr>
          <w:rFonts w:hint="eastAsia" w:ascii="Times New Roman" w:hAnsi="Times New Roman" w:eastAsia="仿宋_GB2312" w:cs="仿宋_GB2312"/>
          <w:color w:val="auto"/>
          <w:kern w:val="2"/>
          <w:sz w:val="32"/>
          <w:szCs w:val="32"/>
          <w:highlight w:val="none"/>
          <w:lang w:val="en-US" w:eastAsia="zh-CN" w:bidi="ar-SA"/>
        </w:rPr>
        <w:t>分，绩效自评综述科学城办事处管理制度健全，管理规范，预算编制及执行情况较好，整体支出合规，资产管理到位；我们高度重视自身建设和能力提升，全方位履行政府职能，为辖区居民营造出优质的社会环境。绩效自评报告详见附件。</w:t>
      </w:r>
    </w:p>
    <w:p w14:paraId="3F0B4DB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92B00FF">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3" w:name="_Toc15377225"/>
      <w:bookmarkStart w:id="54" w:name="_Toc15396613"/>
    </w:p>
    <w:p w14:paraId="503882D6">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30B8B40">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0E694B18">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526888C5">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9F21FB5">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640BA29A">
      <w:pPr>
        <w:numPr>
          <w:ilvl w:val="0"/>
          <w:numId w:val="0"/>
        </w:numPr>
        <w:spacing w:line="600" w:lineRule="exact"/>
        <w:jc w:val="center"/>
        <w:outlineLvl w:val="0"/>
        <w:rPr>
          <w:rFonts w:hint="eastAsia" w:ascii="Times New Roman" w:hAnsi="Times New Roman" w:eastAsia="黑体"/>
          <w:color w:val="auto"/>
          <w:sz w:val="44"/>
          <w:szCs w:val="44"/>
          <w:highlight w:val="none"/>
        </w:rPr>
      </w:pPr>
    </w:p>
    <w:p w14:paraId="3B81763B">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3"/>
      <w:bookmarkEnd w:id="54"/>
    </w:p>
    <w:p w14:paraId="0F7023FF">
      <w:pPr>
        <w:spacing w:line="600" w:lineRule="exact"/>
        <w:jc w:val="left"/>
        <w:rPr>
          <w:rFonts w:ascii="Times New Roman" w:hAnsi="Times New Roman"/>
          <w:b/>
          <w:color w:val="auto"/>
          <w:sz w:val="44"/>
          <w:szCs w:val="44"/>
          <w:highlight w:val="none"/>
        </w:rPr>
      </w:pPr>
    </w:p>
    <w:p w14:paraId="4AABEB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753E782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单位运转项目</w:t>
      </w:r>
      <w:r>
        <w:rPr>
          <w:rFonts w:hint="eastAsia" w:ascii="Times New Roman" w:hAnsi="Times New Roman" w:eastAsia="仿宋_GB2312" w:cs="仿宋_GB2312"/>
          <w:color w:val="auto"/>
          <w:kern w:val="2"/>
          <w:sz w:val="32"/>
          <w:szCs w:val="32"/>
          <w:highlight w:val="none"/>
          <w:lang w:val="en-US" w:eastAsia="zh-CN" w:bidi="ar-SA"/>
        </w:rPr>
        <w:t>（项）：指</w:t>
      </w:r>
      <w:r>
        <w:rPr>
          <w:rFonts w:hint="eastAsia" w:eastAsia="仿宋_GB2312" w:cs="仿宋_GB2312"/>
          <w:color w:val="auto"/>
          <w:kern w:val="2"/>
          <w:sz w:val="32"/>
          <w:szCs w:val="32"/>
          <w:highlight w:val="none"/>
          <w:lang w:val="en-US" w:eastAsia="zh-CN" w:bidi="ar-SA"/>
        </w:rPr>
        <w:t>未单独设置项级科目的其他项目支出。</w:t>
      </w:r>
    </w:p>
    <w:p w14:paraId="6009B1B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其他卫生健康支出</w:t>
      </w:r>
      <w:r>
        <w:rPr>
          <w:rFonts w:hint="eastAsia" w:ascii="Times New Roman" w:hAnsi="Times New Roman" w:eastAsia="仿宋_GB2312" w:cs="仿宋_GB2312"/>
          <w:color w:val="auto"/>
          <w:kern w:val="2"/>
          <w:sz w:val="32"/>
          <w:szCs w:val="32"/>
          <w:highlight w:val="none"/>
          <w:lang w:val="en-US" w:eastAsia="zh-CN" w:bidi="ar-SA"/>
        </w:rPr>
        <w:t>（款）重大公共卫生服务（项）：指</w:t>
      </w:r>
      <w:r>
        <w:rPr>
          <w:rFonts w:hint="eastAsia" w:eastAsia="仿宋_GB2312" w:cs="仿宋_GB2312"/>
          <w:color w:val="auto"/>
          <w:kern w:val="2"/>
          <w:sz w:val="32"/>
          <w:szCs w:val="32"/>
          <w:highlight w:val="none"/>
          <w:lang w:val="en-US" w:eastAsia="zh-CN" w:bidi="ar-SA"/>
        </w:rPr>
        <w:t>重大疾病、重大传染病预防控制等重大公共卫生服务项目支出。</w:t>
      </w:r>
    </w:p>
    <w:p w14:paraId="2326C3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11B00A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330DAA0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公务用车购置及运行费和公务接待费。其中，公务用车购置及运行费反映单位公务用车车辆购置支出（含车辆购置税）及租用费、燃料费、维修费、保险费等支出；公务接待费反映单位按规定开支的各类公务接待（含外宾接待）支出。</w:t>
      </w:r>
    </w:p>
    <w:p w14:paraId="2C3BF63E">
      <w:pPr>
        <w:spacing w:line="600" w:lineRule="exact"/>
        <w:jc w:val="center"/>
        <w:rPr>
          <w:rStyle w:val="28"/>
          <w:rFonts w:hint="eastAsia" w:ascii="Times New Roman" w:hAnsi="Times New Roman" w:eastAsia="黑体"/>
          <w:b w:val="0"/>
          <w:color w:val="auto"/>
          <w:highlight w:val="none"/>
          <w:lang w:eastAsia="zh-CN"/>
        </w:rPr>
      </w:pPr>
      <w:bookmarkStart w:id="55"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6"/>
    </w:p>
    <w:p w14:paraId="6B411B3E">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26DB2058">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39BF49C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03A9B7B1">
      <w:pPr>
        <w:keepNext w:val="0"/>
        <w:keepLines w:val="0"/>
        <w:pageBreakBefore w:val="0"/>
        <w:widowControl/>
        <w:kinsoku/>
        <w:wordWrap/>
        <w:overflowPunct/>
        <w:topLinePunct w:val="0"/>
        <w:bidi w:val="0"/>
        <w:spacing w:line="560" w:lineRule="exact"/>
        <w:contextualSpacing/>
        <w:jc w:val="center"/>
        <w:textAlignment w:val="auto"/>
        <w:rPr>
          <w:rFonts w:hint="eastAsia" w:ascii="方正公文小标宋" w:hAnsi="方正公文小标宋" w:eastAsia="方正公文小标宋" w:cs="方正公文小标宋"/>
          <w:b w:val="0"/>
          <w:bCs/>
          <w:sz w:val="44"/>
          <w:szCs w:val="44"/>
          <w:shd w:val="clear" w:color="auto" w:fill="FFFFFF"/>
        </w:rPr>
      </w:pPr>
      <w:r>
        <w:rPr>
          <w:rFonts w:hint="eastAsia" w:ascii="方正公文小标宋" w:hAnsi="方正公文小标宋" w:eastAsia="方正公文小标宋" w:cs="方正公文小标宋"/>
          <w:b w:val="0"/>
          <w:bCs/>
          <w:sz w:val="44"/>
          <w:szCs w:val="44"/>
          <w:shd w:val="clear" w:color="auto" w:fill="FFFFFF"/>
        </w:rPr>
        <w:t>四川省人民政府科学城办事处</w:t>
      </w:r>
    </w:p>
    <w:p w14:paraId="63B59F34">
      <w:pPr>
        <w:keepNext w:val="0"/>
        <w:keepLines w:val="0"/>
        <w:pageBreakBefore w:val="0"/>
        <w:widowControl/>
        <w:kinsoku/>
        <w:wordWrap/>
        <w:overflowPunct/>
        <w:topLinePunct w:val="0"/>
        <w:bidi w:val="0"/>
        <w:spacing w:line="560" w:lineRule="exact"/>
        <w:contextualSpacing/>
        <w:jc w:val="center"/>
        <w:textAlignment w:val="auto"/>
        <w:rPr>
          <w:rFonts w:hint="eastAsia" w:ascii="方正公文小标宋" w:hAnsi="方正公文小标宋" w:eastAsia="方正公文小标宋" w:cs="方正公文小标宋"/>
          <w:b w:val="0"/>
          <w:bCs/>
          <w:color w:val="000000"/>
          <w:sz w:val="44"/>
          <w:szCs w:val="44"/>
          <w:shd w:val="clear" w:color="auto" w:fill="FFFFFF"/>
        </w:rPr>
      </w:pPr>
      <w:r>
        <w:rPr>
          <w:rFonts w:hint="eastAsia" w:ascii="方正公文小标宋" w:hAnsi="方正公文小标宋" w:eastAsia="方正公文小标宋" w:cs="方正公文小标宋"/>
          <w:b w:val="0"/>
          <w:bCs/>
          <w:sz w:val="44"/>
          <w:szCs w:val="44"/>
          <w:shd w:val="clear" w:color="auto" w:fill="FFFFFF"/>
        </w:rPr>
        <w:t>2025年省级部门预算绩效自评报告</w:t>
      </w:r>
    </w:p>
    <w:p w14:paraId="4E0EDE4E">
      <w:pPr>
        <w:keepNext w:val="0"/>
        <w:keepLines w:val="0"/>
        <w:pageBreakBefore w:val="0"/>
        <w:widowControl/>
        <w:kinsoku/>
        <w:wordWrap/>
        <w:overflowPunct/>
        <w:topLinePunct w:val="0"/>
        <w:bidi w:val="0"/>
        <w:snapToGrid w:val="0"/>
        <w:spacing w:line="560" w:lineRule="exact"/>
        <w:ind w:firstLine="420" w:firstLineChars="200"/>
        <w:contextualSpacing/>
        <w:jc w:val="left"/>
        <w:textAlignment w:val="auto"/>
        <w:rPr>
          <w:rFonts w:ascii="Times New Roman" w:hAnsi="Times New Roman" w:eastAsia="黑体" w:cs="Times New Roman"/>
          <w:color w:val="000000"/>
          <w:shd w:val="clear" w:color="auto" w:fill="FFFFFF"/>
          <w:lang w:val="zh-CN"/>
        </w:rPr>
      </w:pPr>
    </w:p>
    <w:p w14:paraId="5BEDDDCE">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color w:val="000000"/>
          <w:sz w:val="32"/>
          <w:szCs w:val="32"/>
          <w:shd w:val="clear" w:color="auto" w:fill="FFFFFF"/>
          <w:lang w:val="zh-CN"/>
        </w:rPr>
        <w:t>一、部门（单位）基本情况</w:t>
      </w:r>
    </w:p>
    <w:p w14:paraId="5BE2BE09">
      <w:pPr>
        <w:keepNext w:val="0"/>
        <w:keepLines w:val="0"/>
        <w:pageBreakBefore w:val="0"/>
        <w:kinsoku/>
        <w:wordWrap/>
        <w:overflowPunct/>
        <w:topLinePunct w:val="0"/>
        <w:bidi w:val="0"/>
        <w:spacing w:line="560" w:lineRule="exact"/>
        <w:ind w:firstLine="64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楷体_GB2312" w:hAnsi="方正楷体_GB2312" w:eastAsia="方正楷体_GB2312" w:cs="方正楷体_GB2312"/>
          <w:color w:val="000000"/>
          <w:sz w:val="32"/>
          <w:szCs w:val="32"/>
          <w:shd w:val="clear" w:color="auto" w:fill="FFFFFF"/>
          <w:lang w:val="zh-CN"/>
        </w:rPr>
        <w:t>㈠机构组成</w:t>
      </w:r>
      <w:r>
        <w:rPr>
          <w:rFonts w:hint="eastAsia" w:ascii="CESI楷体-GB2312" w:hAnsi="CESI楷体-GB2312" w:eastAsia="CESI楷体-GB2312" w:cs="CESI楷体-GB2312"/>
          <w:color w:val="000000"/>
          <w:sz w:val="32"/>
          <w:szCs w:val="32"/>
          <w:shd w:val="clear" w:color="auto" w:fill="FFFFFF"/>
          <w:lang w:val="zh-CN"/>
        </w:rPr>
        <w:t>。</w:t>
      </w:r>
      <w:r>
        <w:rPr>
          <w:rFonts w:hint="eastAsia" w:ascii="Times New Roman" w:hAnsi="Times New Roman" w:eastAsia="仿宋_GB2312" w:cs="仿宋_GB2312"/>
          <w:color w:val="auto"/>
          <w:kern w:val="2"/>
          <w:sz w:val="32"/>
          <w:szCs w:val="32"/>
          <w:highlight w:val="none"/>
          <w:lang w:val="en-US" w:eastAsia="zh-CN" w:bidi="ar-SA"/>
        </w:rPr>
        <w:t>根</w:t>
      </w:r>
      <w:r>
        <w:rPr>
          <w:rFonts w:hint="eastAsia" w:ascii="方正仿宋_GB2312" w:hAnsi="方正仿宋_GB2312" w:eastAsia="方正仿宋_GB2312" w:cs="方正仿宋_GB2312"/>
          <w:color w:val="auto"/>
          <w:kern w:val="2"/>
          <w:sz w:val="32"/>
          <w:szCs w:val="32"/>
          <w:highlight w:val="none"/>
          <w:lang w:val="en-US" w:eastAsia="zh-CN" w:bidi="ar-SA"/>
        </w:rPr>
        <w:t>据《四川省人民政府办公厅关于四川省人民政府科学城办事处机构设置和职能配置的通知》（川办函〔2006〕61号）及《四川省人民政府办公厅关于四川省人民政府科学城办事处主要职责和机构设置的通知》（川办函〔2015〕42号）精神，科学城办事处为省政府的派出机构，与中国工程物理研究院（以下简称中物院）公共事务管理部一个机构两块牌子。</w:t>
      </w:r>
    </w:p>
    <w:p w14:paraId="703F5461">
      <w:pPr>
        <w:keepNext w:val="0"/>
        <w:keepLines w:val="0"/>
        <w:pageBreakBefore w:val="0"/>
        <w:kinsoku/>
        <w:wordWrap/>
        <w:overflowPunct/>
        <w:topLinePunct w:val="0"/>
        <w:bidi w:val="0"/>
        <w:spacing w:line="560" w:lineRule="exact"/>
        <w:ind w:firstLine="64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根据《关于调整优化四川省人民政府科学城办事处党政机构的批复》（川编办发〔2022〕116号），调整后截止2023年末，四川省人民政府科学城办事处共设置党委议事协调机构4个、党委机构6个、职能机构22个、挂牌机构9个。</w:t>
      </w:r>
    </w:p>
    <w:p w14:paraId="19A43485">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仿宋_GB2312" w:hAnsi="方正仿宋_GB2312" w:eastAsia="方正仿宋_GB2312" w:cs="方正仿宋_GB2312"/>
          <w:color w:val="auto"/>
          <w:kern w:val="2"/>
          <w:sz w:val="32"/>
          <w:szCs w:val="32"/>
          <w:highlight w:val="none"/>
          <w:lang w:val="zh-CN" w:eastAsia="zh-CN" w:bidi="ar-SA"/>
        </w:rPr>
      </w:pPr>
      <w:r>
        <w:rPr>
          <w:rFonts w:hint="eastAsia" w:ascii="方正楷体_GB2312" w:hAnsi="方正楷体_GB2312" w:eastAsia="方正楷体_GB2312" w:cs="方正楷体_GB2312"/>
          <w:color w:val="000000"/>
          <w:sz w:val="32"/>
          <w:szCs w:val="32"/>
          <w:shd w:val="clear" w:color="auto" w:fill="FFFFFF"/>
          <w:lang w:val="zh-CN"/>
        </w:rPr>
        <w:t>㈡机构职能</w:t>
      </w:r>
      <w:r>
        <w:rPr>
          <w:rFonts w:hint="eastAsia" w:ascii="方正楷体_GBK" w:hAnsi="方正楷体_GBK" w:eastAsia="方正楷体_GBK" w:cs="方正楷体_GBK"/>
          <w:color w:val="000000"/>
          <w:sz w:val="32"/>
          <w:szCs w:val="32"/>
          <w:shd w:val="clear" w:color="auto" w:fill="FFFFFF"/>
          <w:lang w:val="zh-CN"/>
        </w:rPr>
        <w:t>。</w:t>
      </w:r>
      <w:r>
        <w:rPr>
          <w:rFonts w:hint="eastAsia" w:ascii="方正仿宋_GB2312" w:hAnsi="方正仿宋_GB2312" w:eastAsia="方正仿宋_GB2312" w:cs="方正仿宋_GB2312"/>
          <w:color w:val="auto"/>
          <w:kern w:val="2"/>
          <w:sz w:val="32"/>
          <w:szCs w:val="32"/>
          <w:highlight w:val="none"/>
          <w:lang w:val="en-US" w:eastAsia="zh-CN" w:bidi="ar-SA"/>
        </w:rPr>
        <w:t>主要职能是：贯彻执行国家的法律、法规和方针政策；省政府授权其负责中物院在川征地范围内的行政管理和行政执法工作；承办省政府交办的其他事项。</w:t>
      </w:r>
    </w:p>
    <w:p w14:paraId="577146F6">
      <w:pPr>
        <w:keepNext w:val="0"/>
        <w:keepLines w:val="0"/>
        <w:pageBreakBefore w:val="0"/>
        <w:kinsoku/>
        <w:wordWrap/>
        <w:overflowPunct/>
        <w:topLinePunct w:val="0"/>
        <w:bidi w:val="0"/>
        <w:adjustRightIn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楷体_GB2312" w:hAnsi="方正楷体_GB2312" w:eastAsia="方正楷体_GB2312" w:cs="方正楷体_GB2312"/>
          <w:color w:val="000000"/>
          <w:sz w:val="32"/>
          <w:szCs w:val="32"/>
          <w:shd w:val="clear" w:color="auto" w:fill="FFFFFF"/>
          <w:lang w:val="zh-CN"/>
        </w:rPr>
        <w:t>㈢人员概况</w:t>
      </w:r>
      <w:r>
        <w:rPr>
          <w:rFonts w:hint="eastAsia" w:ascii="方正楷体_GBK" w:hAnsi="方正楷体_GBK" w:eastAsia="方正楷体_GBK" w:cs="方正楷体_GBK"/>
          <w:color w:val="000000"/>
          <w:sz w:val="32"/>
          <w:szCs w:val="32"/>
          <w:shd w:val="clear" w:color="auto" w:fill="FFFFFF"/>
          <w:lang w:val="zh-CN"/>
        </w:rPr>
        <w:t>。</w:t>
      </w:r>
      <w:r>
        <w:rPr>
          <w:rFonts w:hint="eastAsia" w:ascii="方正仿宋_GB2312" w:hAnsi="方正仿宋_GB2312" w:eastAsia="方正仿宋_GB2312" w:cs="方正仿宋_GB2312"/>
          <w:color w:val="auto"/>
          <w:kern w:val="2"/>
          <w:sz w:val="32"/>
          <w:szCs w:val="32"/>
          <w:highlight w:val="none"/>
          <w:lang w:val="en-US" w:eastAsia="zh-CN" w:bidi="ar-SA"/>
        </w:rPr>
        <w:t>截至2024年末，根据省政府办公厅《关于四川省人民政府科学城办事处主要职责和机构设置的通知》（川办函〔2015〕42号）下达的编制数380人，年末实有人数380人，当年未发生变动。</w:t>
      </w:r>
    </w:p>
    <w:p w14:paraId="04DBCB27">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黑体" w:hAnsi="黑体" w:eastAsia="黑体" w:cs="黑体"/>
          <w:color w:val="000000"/>
          <w:sz w:val="32"/>
          <w:szCs w:val="32"/>
          <w:shd w:val="clear" w:color="auto" w:fill="FFFFFF"/>
          <w:lang w:val="zh-CN"/>
        </w:rPr>
      </w:pPr>
      <w:r>
        <w:rPr>
          <w:rFonts w:hint="eastAsia" w:ascii="黑体" w:hAnsi="黑体" w:eastAsia="黑体" w:cs="黑体"/>
          <w:color w:val="000000"/>
          <w:sz w:val="32"/>
          <w:szCs w:val="32"/>
          <w:shd w:val="clear" w:color="auto" w:fill="FFFFFF"/>
          <w:lang w:val="zh-CN"/>
        </w:rPr>
        <w:t>二、部门资金收支情况</w:t>
      </w:r>
    </w:p>
    <w:p w14:paraId="05712E33">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b/>
          <w:bCs/>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lang w:val="zh-CN"/>
        </w:rPr>
        <w:t>㈠收入情况</w:t>
      </w:r>
      <w:r>
        <w:rPr>
          <w:rFonts w:hint="eastAsia" w:ascii="方正楷体_GBK" w:hAnsi="方正楷体_GBK" w:eastAsia="方正楷体_GBK" w:cs="方正楷体_GBK"/>
          <w:color w:val="000000"/>
          <w:sz w:val="32"/>
          <w:szCs w:val="32"/>
          <w:shd w:val="clear" w:color="auto" w:fill="FFFFFF"/>
          <w:lang w:val="zh-CN"/>
        </w:rPr>
        <w:t>。</w:t>
      </w:r>
      <w:r>
        <w:rPr>
          <w:rFonts w:hint="eastAsia" w:ascii="方正仿宋_GB2312" w:hAnsi="方正仿宋_GB2312" w:eastAsia="方正仿宋_GB2312" w:cs="方正仿宋_GB2312"/>
          <w:color w:val="auto"/>
          <w:kern w:val="2"/>
          <w:sz w:val="32"/>
          <w:szCs w:val="32"/>
          <w:highlight w:val="none"/>
          <w:lang w:val="en-US" w:eastAsia="zh-CN" w:bidi="ar-SA"/>
        </w:rPr>
        <w:t>川府科办2024年初预算收入、决算报表收入均为1411.00万元。</w:t>
      </w:r>
    </w:p>
    <w:p w14:paraId="6B7B09A0">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sz w:val="32"/>
          <w:szCs w:val="32"/>
          <w:lang w:val="zh-CN"/>
        </w:rPr>
      </w:pPr>
      <w:r>
        <w:rPr>
          <w:rFonts w:hint="eastAsia" w:ascii="方正楷体_GB2312" w:hAnsi="方正楷体_GB2312" w:eastAsia="方正楷体_GB2312" w:cs="方正楷体_GB2312"/>
          <w:color w:val="000000"/>
          <w:sz w:val="32"/>
          <w:szCs w:val="32"/>
          <w:shd w:val="clear" w:color="auto" w:fill="FFFFFF"/>
          <w:lang w:val="zh-CN"/>
        </w:rPr>
        <w:t>㈡支出情况。</w:t>
      </w:r>
      <w:r>
        <w:rPr>
          <w:rFonts w:hint="eastAsia" w:ascii="方正仿宋_GB2312" w:hAnsi="方正仿宋_GB2312" w:eastAsia="方正仿宋_GB2312" w:cs="方正仿宋_GB2312"/>
          <w:color w:val="auto"/>
          <w:kern w:val="2"/>
          <w:sz w:val="32"/>
          <w:szCs w:val="32"/>
          <w:highlight w:val="none"/>
          <w:lang w:val="en-US" w:eastAsia="zh-CN" w:bidi="ar-SA"/>
        </w:rPr>
        <w:t>川府科办2024年初预算支出、决算报表支出均为1531.62万元。</w:t>
      </w:r>
    </w:p>
    <w:p w14:paraId="223A1707">
      <w:pPr>
        <w:keepNext w:val="0"/>
        <w:keepLines w:val="0"/>
        <w:pageBreakBefore w:val="0"/>
        <w:kinsoku/>
        <w:wordWrap/>
        <w:overflowPunct/>
        <w:topLinePunct w:val="0"/>
        <w:bidi w:val="0"/>
        <w:snapToGrid w:val="0"/>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zh-CN" w:eastAsia="zh-CN" w:bidi="ar-SA"/>
        </w:rPr>
      </w:pPr>
      <w:r>
        <w:rPr>
          <w:rFonts w:hint="eastAsia" w:ascii="方正楷体_GB2312" w:hAnsi="方正楷体_GB2312" w:eastAsia="方正楷体_GB2312" w:cs="方正楷体_GB2312"/>
          <w:color w:val="000000"/>
          <w:sz w:val="32"/>
          <w:szCs w:val="32"/>
          <w:shd w:val="clear" w:color="auto" w:fill="FFFFFF"/>
          <w:lang w:val="zh-CN"/>
        </w:rPr>
        <w:t>㈢结余分配和结转结余情况。</w:t>
      </w:r>
      <w:r>
        <w:rPr>
          <w:rFonts w:hint="eastAsia" w:ascii="方正仿宋_GB2312" w:hAnsi="方正仿宋_GB2312" w:eastAsia="方正仿宋_GB2312" w:cs="方正仿宋_GB2312"/>
          <w:color w:val="auto"/>
          <w:kern w:val="2"/>
          <w:sz w:val="32"/>
          <w:szCs w:val="32"/>
          <w:highlight w:val="none"/>
          <w:lang w:val="en-US" w:eastAsia="zh-CN" w:bidi="ar-SA"/>
        </w:rPr>
        <w:t>川府科办2024年决算报表各项收支无结转和结余。</w:t>
      </w:r>
    </w:p>
    <w:p w14:paraId="4ABC8124">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黑体" w:hAnsi="黑体" w:eastAsia="黑体" w:cs="黑体"/>
          <w:color w:val="000000"/>
          <w:sz w:val="32"/>
          <w:szCs w:val="32"/>
          <w:shd w:val="clear" w:color="auto" w:fill="FFFFFF"/>
          <w:lang w:val="zh-CN"/>
        </w:rPr>
      </w:pPr>
      <w:r>
        <w:rPr>
          <w:rFonts w:hint="eastAsia" w:ascii="黑体" w:hAnsi="黑体" w:eastAsia="黑体" w:cs="黑体"/>
          <w:color w:val="000000"/>
          <w:sz w:val="32"/>
          <w:szCs w:val="32"/>
          <w:shd w:val="clear" w:color="auto" w:fill="FFFFFF"/>
          <w:lang w:val="zh-CN"/>
        </w:rPr>
        <w:t>三、部门预算绩效分析</w:t>
      </w:r>
    </w:p>
    <w:p w14:paraId="0FE86E35">
      <w:pPr>
        <w:keepNext w:val="0"/>
        <w:keepLines w:val="0"/>
        <w:pageBreakBefore w:val="0"/>
        <w:kinsoku/>
        <w:wordWrap/>
        <w:overflowPunct/>
        <w:topLinePunct w:val="0"/>
        <w:bidi w:val="0"/>
        <w:spacing w:line="560" w:lineRule="exact"/>
        <w:ind w:firstLine="640"/>
        <w:textAlignment w:val="auto"/>
        <w:rPr>
          <w:rFonts w:hint="eastAsia" w:ascii="方正楷体_GB2312" w:hAnsi="方正楷体_GB2312" w:eastAsia="方正楷体_GB2312" w:cs="方正楷体_GB2312"/>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㈠部门预算总体绩效分析</w:t>
      </w:r>
    </w:p>
    <w:p w14:paraId="0F59DCF8">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根据部门预算绩效评价指标体系“总体绩效”涉及二、三级指标进行逐项绩效分析并评分，依次包括履职效能、预算管理、财务管理、资产管理、采购管理等情况。</w:t>
      </w:r>
    </w:p>
    <w:p w14:paraId="6092E34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CN" w:eastAsia="zh-CN" w:bidi="ar-SA"/>
        </w:rPr>
        <w:t>履职效能。</w:t>
      </w:r>
      <w:r>
        <w:rPr>
          <w:rFonts w:hint="eastAsia" w:ascii="仿宋_GB2312" w:hAnsi="仿宋_GB2312" w:eastAsia="仿宋_GB2312" w:cs="仿宋_GB2312"/>
          <w:color w:val="auto"/>
          <w:kern w:val="2"/>
          <w:sz w:val="32"/>
          <w:szCs w:val="32"/>
          <w:highlight w:val="none"/>
          <w:lang w:val="en-US" w:eastAsia="zh-CN" w:bidi="ar-SA"/>
        </w:rPr>
        <w:t>（分值15分，自评15分）</w:t>
      </w:r>
    </w:p>
    <w:p w14:paraId="1242AEE9">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基础教育事业实现新跨越。</w:t>
      </w:r>
      <w:r>
        <w:rPr>
          <w:rFonts w:hint="eastAsia" w:ascii="仿宋_GB2312" w:hAnsi="仿宋_GB2312" w:eastAsia="仿宋_GB2312" w:cs="仿宋_GB2312"/>
          <w:color w:val="auto"/>
          <w:kern w:val="2"/>
          <w:sz w:val="32"/>
          <w:szCs w:val="32"/>
          <w:highlight w:val="none"/>
          <w:lang w:val="zh-CN" w:eastAsia="zh-CN" w:bidi="ar-SA"/>
        </w:rPr>
        <w:t>辖区学校坚持立德树人根本任务，持续加强教师队伍建设，不断提升教育教学质量，与东北师大、绵阳市教育合作协议全面落实，学前教育普及普惠省级督导评估顺利通过，科学城义务教育、高中教育各学段均获绵阳市教育质量评价特等奖。春蕾学校新校区建成投用，实现平稳过渡、有序整合。科学城一中成功入选首批全国中小学科学教育实验校，圆满承办首届中国（绵阳）科技城青少年科创荟活动，2024年高考985、211院校录取人数创历史新高，“于敏科技中学”建设成效显著。规范辖区招生工作，拓展教育服务措施，春蕾学校“院需托管服务”组织实施，从幼儿园到义务教育、从课后延时到晚托辅导的全链条教育服务体系基本形成。</w:t>
      </w:r>
    </w:p>
    <w:p w14:paraId="0FC6CF2B">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医疗卫生事业持续发展。</w:t>
      </w:r>
      <w:r>
        <w:rPr>
          <w:rFonts w:hint="eastAsia" w:ascii="仿宋_GB2312" w:hAnsi="仿宋_GB2312" w:eastAsia="仿宋_GB2312" w:cs="仿宋_GB2312"/>
          <w:color w:val="auto"/>
          <w:kern w:val="2"/>
          <w:sz w:val="32"/>
          <w:szCs w:val="32"/>
          <w:highlight w:val="none"/>
          <w:lang w:val="zh-CN" w:eastAsia="zh-CN" w:bidi="ar-SA"/>
        </w:rPr>
        <w:t>加强职工健康保障，完成职工肿瘤和心脑血管疾病专项筛查，强化职工体检异常值跟踪管理，全生命周期健康管理体系加快形成。科学城医院深度参与全国重大慢病防控创新融合试点项目，神经外科成功获批省级临床重点专科，通过“三甲”医院现场复审。九〇三医院建成肿瘤防治中心、慢病管理中心，直线加速器建设项目竣工验收，合作研发项目“涉核洗消装备”进入关键技术试验验证阶段。</w:t>
      </w:r>
    </w:p>
    <w:p w14:paraId="4A48DCCF">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社会保障温暖人心。</w:t>
      </w:r>
      <w:r>
        <w:rPr>
          <w:rFonts w:hint="eastAsia" w:ascii="仿宋_GB2312" w:hAnsi="仿宋_GB2312" w:eastAsia="仿宋_GB2312" w:cs="仿宋_GB2312"/>
          <w:color w:val="auto"/>
          <w:kern w:val="2"/>
          <w:sz w:val="32"/>
          <w:szCs w:val="32"/>
          <w:highlight w:val="none"/>
          <w:lang w:val="zh-CN" w:eastAsia="zh-CN" w:bidi="ar-SA"/>
        </w:rPr>
        <w:t>推进医保管理平台建设，优化医疗费用报销流程，职工共济卡及新增家庭成员信息网上直办业务顺利开通。整合多源医保数据，守护医保基金安全，重复收费等违规现象锐减。持续提升为老服务水平，发布《科学城基本养老服务清单》，“爱满春雷”幸福餐厅、春瑞社区养老服务综合体投入运营，“敬老月”义诊、“重阳节”游园等活动相继开展，老有所养、老有所乐成为生动现实。多措并举为困难职工和辖区居民排忧解难，金秋助学、临时生活救助、“慈善+医疗”、职工家属就业援助等精准帮扶活动持续开展，兜底保障更加牢固。</w:t>
      </w:r>
    </w:p>
    <w:p w14:paraId="3040F240">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公共文化建设成果丰硕</w:t>
      </w:r>
      <w:r>
        <w:rPr>
          <w:rFonts w:hint="eastAsia" w:ascii="Times New Roman" w:hAnsi="Times New Roman"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zh-CN" w:eastAsia="zh-CN" w:bidi="ar-SA"/>
        </w:rPr>
        <w:t>围绕庆祝新中国成立75周年、原子弹爆炸成功60周年主线，组织开展科学城新春年俗游园、歌手大赛、年代秀以及主题摄影展、乒乓球比赛等文体活动，协助院职工艺术团慰问演出，圆满完成多项院级赛事活动承办任务，科学城公共文化符号特色鲜明、多元绚丽。加强文化阵地建设，完成科技馆外墙改造，建成国旗展陈区，邓稼先百年诞辰生平事迹展、朱光亚百年诞辰展精心布置、隆重开展，公共图书馆线上阅读打卡活动吸引8.7万次浏览，社区邻居节、文化节、主题音乐会等文化活动持续开展，职工居民文化生活丰富多彩，两弹精神有力传承。</w:t>
      </w:r>
    </w:p>
    <w:p w14:paraId="7BE89E3C">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城市运行平稳有序。</w:t>
      </w:r>
      <w:r>
        <w:rPr>
          <w:rFonts w:hint="eastAsia" w:ascii="仿宋_GB2312" w:hAnsi="仿宋_GB2312" w:eastAsia="仿宋_GB2312" w:cs="仿宋_GB2312"/>
          <w:color w:val="auto"/>
          <w:kern w:val="2"/>
          <w:sz w:val="32"/>
          <w:szCs w:val="32"/>
          <w:highlight w:val="none"/>
          <w:lang w:val="zh-CN" w:eastAsia="zh-CN" w:bidi="ar-SA"/>
        </w:rPr>
        <w:t>积极回应职工居民关切，七区、八区、九区公用充电桩建成投用，小岛至科学城道路正式通车，花园路段扩路改造完毕，七区隧道口到花园道路改造项目完成施工准备，院机关北停车场与四所之间道路安全隐患整治、148南大门安全隐患整改完成，市政设施运维、环卫绿化等常态化开展，环境综合提质、大气污染排查等专项整治行动深入开展，科学城面貌进一步改善。持续优化辖区交通，调整七区至申家坡路段交通组织，优化春蕾学校高峰时段通行措施，启用科学城一中周边道路违停抓拍系统，加大学校上、放学期间交通指挥人员配置，强化对酒驾、醉驾等各类交通违法行为整治力度，辖区道路通行效率与安全保障持续提升。</w:t>
      </w:r>
    </w:p>
    <w:p w14:paraId="0E8A4F33">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居民生活小区旧貌换新颜。</w:t>
      </w:r>
      <w:r>
        <w:rPr>
          <w:rFonts w:hint="eastAsia" w:ascii="仿宋_GB2312" w:hAnsi="仿宋_GB2312" w:eastAsia="仿宋_GB2312" w:cs="仿宋_GB2312"/>
          <w:color w:val="auto"/>
          <w:kern w:val="2"/>
          <w:sz w:val="32"/>
          <w:szCs w:val="32"/>
          <w:highlight w:val="none"/>
          <w:lang w:val="zh-CN" w:eastAsia="zh-CN" w:bidi="ar-SA"/>
        </w:rPr>
        <w:t>科学城小区楼宇改造、燃气专项改造、1—8区消防系统整治等项目建设基本完成，二区、三区、五区老旧小区配套基础设施改造加快推进，既有住宅增设电梯5部，4个小区停车棚引入智能充电设备，小区消防车道隐患排查整治有序实施，居民生活小区环境大幅改善。统筹社区资源配置，整合社区活动阵地。春晖、春晓社区治理工作入选绵阳市城乡治理成果集。</w:t>
      </w:r>
    </w:p>
    <w:p w14:paraId="13CE57C8">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2.预算管理。（分值25分，自评24.97分）</w:t>
      </w:r>
    </w:p>
    <w:p w14:paraId="7B5E4151">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预算编制质量</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四川省人民政府科学城办事处严格按要求编制年初部门预算，年初预算编制的科学性和准确性较高，该项指标得8分。</w:t>
      </w:r>
    </w:p>
    <w:p w14:paraId="47B8F639">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单位收入统筹</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四川省人民政府科学城办事处不涉及部门统筹自有收入，该项指标得4分。</w:t>
      </w:r>
    </w:p>
    <w:p w14:paraId="091A9FCB">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支出执行进度</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四川省人民政府科学城办事处部门1至6月、1至10月预算执行情况分别为45.6%、85.2%，该项指标得5.97分。</w:t>
      </w:r>
    </w:p>
    <w:p w14:paraId="53DB3B16">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预算年终结余</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四川省人民政府科学城办事处部门整体年终预算无结余，该项指标得2分。</w:t>
      </w:r>
    </w:p>
    <w:p w14:paraId="16A04E61">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严控一般性支出</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en-US" w:eastAsia="zh-CN" w:bidi="ar-SA"/>
        </w:rPr>
        <w:t>四川省人民政府科学城办事处“三公”经费合计98.6万元：其中因公出国（境）费年初无预算。公务用车运行维护方面，2024年年初预算金额97万元，与上年无差异；本年决算金额96.99万元，较上年决算金额减少0.01万元。公务接待费2024年预算金额为1.6万元，与2023年预算金额持平，本年决算金额1.48万元，较上年决算金额减少0.12万元；国内接待9批次，64人。会议费2024年决算金额为2.00万元，较2023年决算</w:t>
      </w:r>
      <w:r>
        <w:rPr>
          <w:rFonts w:hint="eastAsia" w:ascii="仿宋_GB2312" w:hAnsi="仿宋_GB2312" w:eastAsia="仿宋_GB2312" w:cs="仿宋_GB2312"/>
          <w:color w:val="auto"/>
          <w:kern w:val="2"/>
          <w:sz w:val="32"/>
          <w:szCs w:val="32"/>
          <w:highlight w:val="none"/>
          <w:lang w:val="zh-CN" w:eastAsia="zh-CN" w:bidi="ar-SA"/>
        </w:rPr>
        <w:t>金额减少5.</w:t>
      </w:r>
      <w:r>
        <w:rPr>
          <w:rFonts w:hint="eastAsia" w:ascii="仿宋_GB2312" w:hAnsi="仿宋_GB2312" w:eastAsia="仿宋_GB2312" w:cs="仿宋_GB2312"/>
          <w:color w:val="auto"/>
          <w:kern w:val="2"/>
          <w:sz w:val="32"/>
          <w:szCs w:val="32"/>
          <w:highlight w:val="none"/>
          <w:lang w:val="en-US" w:eastAsia="zh-CN" w:bidi="ar-SA"/>
        </w:rPr>
        <w:t>00万元。培训费2024年决算金额为20.00万元，与2023年决算金额持平。差旅费2024年支出合计金额98.40万元，较2023年减少19.60万元。主要用于在职人员因公出差发生的交通费和住宿费。办节办展费、办公设备购置、</w:t>
      </w:r>
      <w:r>
        <w:rPr>
          <w:rFonts w:hint="eastAsia" w:ascii="仿宋_GB2312" w:hAnsi="仿宋_GB2312" w:eastAsia="仿宋_GB2312" w:cs="仿宋_GB2312"/>
          <w:color w:val="auto"/>
          <w:kern w:val="2"/>
          <w:sz w:val="32"/>
          <w:szCs w:val="32"/>
          <w:highlight w:val="none"/>
          <w:lang w:val="zh-CN" w:eastAsia="zh-CN" w:bidi="ar-SA"/>
        </w:rPr>
        <w:t>信息网络及软件购置更新、课题经费等四项不涉及，该项指标得5分。</w:t>
      </w:r>
    </w:p>
    <w:p w14:paraId="1109360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3.财务管理。（分值10分，自评10分）</w:t>
      </w:r>
    </w:p>
    <w:p w14:paraId="14C23184">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财务管理制度：</w:t>
      </w:r>
      <w:r>
        <w:rPr>
          <w:rFonts w:hint="eastAsia" w:ascii="仿宋_GB2312" w:hAnsi="仿宋_GB2312" w:eastAsia="仿宋_GB2312" w:cs="仿宋_GB2312"/>
          <w:color w:val="auto"/>
          <w:kern w:val="2"/>
          <w:sz w:val="32"/>
          <w:szCs w:val="32"/>
          <w:highlight w:val="none"/>
          <w:lang w:val="zh-CN" w:eastAsia="zh-CN" w:bidi="ar-SA"/>
        </w:rPr>
        <w:t>四川省人民政府科学城办事处制定各项管理办法，全方位扎紧制度笼子。制定《中物院医疗保险基金内部稽核管理办法》（公管〔2023〕5号），防范和化解医疗保险基金管理运作风险；制定《中物院839地区住宅小区经营性公共建筑物管理办法》（公管〔2023〕17号），规范经营性公共建筑物管理活动，提高经营性公共建筑物使用效益；制定《中国工程物理研究院公共事务管理部公务卡管理办法》（公管〔2023〕40号），规范单位公务支出结算，提高结算效率及透明度；制定《公共事务管理部、科学城办事处差旅费管理办法》（公管〔2023〕47号），规范差旅费报销管理，财务管理制度得到落实，该项指标得4分。</w:t>
      </w:r>
    </w:p>
    <w:p w14:paraId="1F7F2351">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财务岗位设置</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四川省人民政府科学城办事处部门财务工作岗位设置合理，明确职责权限，并严格实行不相容岗位分离，该项指标得2分。</w:t>
      </w:r>
    </w:p>
    <w:p w14:paraId="5CD71B74">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资金使用规范</w:t>
      </w:r>
      <w:r>
        <w:rPr>
          <w:rFonts w:hint="eastAsia" w:ascii="CESI仿宋-GB2312" w:hAnsi="CESI仿宋-GB2312" w:eastAsia="CESI仿宋-GB2312" w:cs="CESI仿宋-GB2312"/>
          <w:b/>
          <w:bCs/>
          <w:sz w:val="32"/>
          <w:szCs w:val="32"/>
        </w:rPr>
        <w:t>：</w:t>
      </w:r>
      <w:r>
        <w:rPr>
          <w:rFonts w:hint="eastAsia" w:ascii="仿宋_GB2312" w:hAnsi="仿宋_GB2312" w:eastAsia="仿宋_GB2312" w:cs="仿宋_GB2312"/>
          <w:color w:val="auto"/>
          <w:kern w:val="2"/>
          <w:sz w:val="32"/>
          <w:szCs w:val="32"/>
          <w:highlight w:val="none"/>
          <w:lang w:val="zh-CN" w:eastAsia="zh-CN" w:bidi="ar-SA"/>
        </w:rPr>
        <w:t>四川省人民政府科学城办事处部门资金使用符合相关财务管理制度规定，该项指标得4分。</w:t>
      </w:r>
    </w:p>
    <w:p w14:paraId="04E416DF">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4.资产管理。（分值9分，自评9分）</w:t>
      </w:r>
    </w:p>
    <w:p w14:paraId="74328E8B">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此项不涉及。</w:t>
      </w:r>
    </w:p>
    <w:p w14:paraId="4987E251">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5.采购管理。（分值6分，自评6分）</w:t>
      </w:r>
    </w:p>
    <w:p w14:paraId="02D93960">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CESI仿宋-GB2312" w:hAnsi="CESI仿宋-GB2312" w:eastAsia="CESI仿宋-GB2312" w:cs="CESI仿宋-GB2312"/>
          <w:snapToGrid w:val="0"/>
          <w:color w:val="auto"/>
          <w:sz w:val="32"/>
          <w:szCs w:val="32"/>
          <w:shd w:val="clear" w:color="auto" w:fill="FFFFFF"/>
          <w:lang w:val="zh-CN"/>
        </w:rPr>
      </w:pPr>
      <w:r>
        <w:rPr>
          <w:rFonts w:hint="eastAsia" w:ascii="CESI仿宋-GB2312" w:hAnsi="CESI仿宋-GB2312" w:eastAsia="CESI仿宋-GB2312" w:cs="CESI仿宋-GB2312"/>
          <w:b/>
          <w:bCs/>
          <w:sz w:val="32"/>
          <w:szCs w:val="32"/>
          <w:lang w:val="zh-CN"/>
        </w:rPr>
        <w:t>支持中小企业发展：</w:t>
      </w:r>
      <w:r>
        <w:rPr>
          <w:rFonts w:hint="eastAsia" w:ascii="仿宋_GB2312" w:hAnsi="仿宋_GB2312" w:eastAsia="仿宋_GB2312" w:cs="仿宋_GB2312"/>
          <w:color w:val="auto"/>
          <w:kern w:val="2"/>
          <w:sz w:val="32"/>
          <w:szCs w:val="32"/>
          <w:highlight w:val="none"/>
          <w:lang w:val="zh-CN" w:eastAsia="zh-CN" w:bidi="ar-SA"/>
        </w:rPr>
        <w:t>对适宜由中小企业提供的采购项目和采购包，预留采购份额(累计100万元)专门面向中小企业采购，并在采购预算中单独列示，该项指标得3分</w:t>
      </w:r>
      <w:r>
        <w:rPr>
          <w:rFonts w:hint="eastAsia" w:ascii="CESI仿宋-GB2312" w:hAnsi="CESI仿宋-GB2312" w:eastAsia="CESI仿宋-GB2312" w:cs="CESI仿宋-GB2312"/>
          <w:snapToGrid w:val="0"/>
          <w:color w:val="auto"/>
          <w:sz w:val="32"/>
          <w:szCs w:val="32"/>
          <w:shd w:val="clear" w:color="auto" w:fill="FFFFFF"/>
        </w:rPr>
        <w:t>。</w:t>
      </w:r>
    </w:p>
    <w:p w14:paraId="5BA2419A">
      <w:pPr>
        <w:pStyle w:val="2"/>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CESI仿宋-GB2312" w:hAnsi="CESI仿宋-GB2312" w:eastAsia="CESI仿宋-GB2312" w:cs="CESI仿宋-GB2312"/>
          <w:b/>
          <w:bCs/>
          <w:sz w:val="32"/>
          <w:szCs w:val="32"/>
          <w:lang w:val="zh-CN"/>
        </w:rPr>
        <w:t>采购执行率：</w:t>
      </w:r>
      <w:r>
        <w:rPr>
          <w:rFonts w:hint="eastAsia" w:ascii="仿宋_GB2312" w:hAnsi="仿宋_GB2312" w:eastAsia="仿宋_GB2312" w:cs="仿宋_GB2312"/>
          <w:color w:val="auto"/>
          <w:kern w:val="2"/>
          <w:sz w:val="32"/>
          <w:szCs w:val="32"/>
          <w:highlight w:val="none"/>
          <w:lang w:val="zh-CN" w:eastAsia="zh-CN" w:bidi="ar-SA"/>
        </w:rPr>
        <w:t>部门政府采购项目预算资金合计380万元,合同金额为374.94万元,支付金额374.94万元,支付比例为100%，该项指标得3分。</w:t>
      </w:r>
    </w:p>
    <w:p w14:paraId="032B65E5">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楷体_GBK" w:hAnsi="方正楷体_GBK" w:eastAsia="方正楷体_GBK" w:cs="方正楷体_GBK"/>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㈡部门预算项目绩效分析</w:t>
      </w:r>
    </w:p>
    <w:p w14:paraId="367B2A4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常年项目绩效分析。该类项目总数2个，涉及预算总金额1411.00万元，1—12月预算执行总体进度为99.94%。</w:t>
      </w:r>
    </w:p>
    <w:p w14:paraId="7211103A">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阶段（含一次性）项目绩效分析。该类项目总数3个，涉及预算总金额121.56万元，1—12月预算执行总体进度为100%。</w:t>
      </w:r>
    </w:p>
    <w:p w14:paraId="64120659">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1.项目决策。（分值12分，自评12分）</w:t>
      </w:r>
    </w:p>
    <w:p w14:paraId="39533E85">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决策程序：</w:t>
      </w:r>
      <w:r>
        <w:rPr>
          <w:rFonts w:hint="eastAsia" w:ascii="仿宋_GB2312" w:hAnsi="仿宋_GB2312" w:eastAsia="仿宋_GB2312" w:cs="仿宋_GB2312"/>
          <w:color w:val="auto"/>
          <w:kern w:val="2"/>
          <w:sz w:val="32"/>
          <w:szCs w:val="32"/>
          <w:highlight w:val="none"/>
          <w:lang w:val="zh-CN" w:eastAsia="zh-CN" w:bidi="ar-SA"/>
        </w:rPr>
        <w:t>四川省人民政府科学城办事处部门绩效目标随年度预算纳入党委会集体决策范围（2024年公管部（科办）党委第4次会议），该项指标得4分。</w:t>
      </w:r>
    </w:p>
    <w:p w14:paraId="6764AFB4">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目标设置：</w:t>
      </w:r>
      <w:r>
        <w:rPr>
          <w:rFonts w:hint="eastAsia" w:ascii="仿宋_GB2312" w:hAnsi="仿宋_GB2312" w:eastAsia="仿宋_GB2312" w:cs="仿宋_GB2312"/>
          <w:color w:val="auto"/>
          <w:kern w:val="2"/>
          <w:sz w:val="32"/>
          <w:szCs w:val="32"/>
          <w:highlight w:val="none"/>
          <w:lang w:val="zh-CN" w:eastAsia="zh-CN" w:bidi="ar-SA"/>
        </w:rPr>
        <w:t>2024年省政府科学城办事处项目绩效目标内容完整，细化量化，标准合理，预算匹配，符合部门职能及事业发展规划，该项指标得4分。</w:t>
      </w:r>
    </w:p>
    <w:p w14:paraId="2839C94D">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zh-CN"/>
        </w:rPr>
        <w:t>项目入库：</w:t>
      </w:r>
      <w:r>
        <w:rPr>
          <w:rFonts w:hint="eastAsia" w:ascii="仿宋_GB2312" w:hAnsi="仿宋_GB2312" w:eastAsia="仿宋_GB2312" w:cs="仿宋_GB2312"/>
          <w:color w:val="auto"/>
          <w:kern w:val="2"/>
          <w:sz w:val="32"/>
          <w:szCs w:val="32"/>
          <w:highlight w:val="none"/>
          <w:lang w:val="zh-CN" w:eastAsia="zh-CN" w:bidi="ar-SA"/>
        </w:rPr>
        <w:t>预算项目的设立履行了项目申报论证程序，与部门职能职责相符，预算测算清晰，该项指标得4分。</w:t>
      </w:r>
    </w:p>
    <w:p w14:paraId="24A5F506">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shd w:val="clear" w:color="auto" w:fill="FFFFFF"/>
        </w:rPr>
        <w:t>2.项目执行</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sz w:val="32"/>
          <w:szCs w:val="32"/>
          <w:shd w:val="clear" w:color="auto" w:fill="FFFFFF"/>
        </w:rPr>
        <w:t>分值12分，自评12分）</w:t>
      </w:r>
    </w:p>
    <w:p w14:paraId="03DF3994">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b/>
          <w:bCs/>
          <w:color w:val="000000"/>
          <w:sz w:val="32"/>
          <w:szCs w:val="32"/>
          <w:shd w:val="clear" w:color="auto" w:fill="FFFFFF"/>
          <w:lang w:val="zh-CN"/>
        </w:rPr>
        <w:t>执行同向：</w:t>
      </w:r>
      <w:r>
        <w:rPr>
          <w:rFonts w:hint="eastAsia" w:ascii="仿宋_GB2312" w:hAnsi="仿宋_GB2312" w:eastAsia="仿宋_GB2312" w:cs="仿宋_GB2312"/>
          <w:color w:val="auto"/>
          <w:kern w:val="2"/>
          <w:sz w:val="32"/>
          <w:szCs w:val="32"/>
          <w:highlight w:val="none"/>
          <w:lang w:val="zh-CN" w:eastAsia="zh-CN" w:bidi="ar-SA"/>
        </w:rPr>
        <w:t>项目实际列支内容与项目绩效目标设置方向相符，根据《2024年省级部门预算绩效评价指标体系》，部门预算执行率99.94%，该项指标得4分</w:t>
      </w:r>
      <w:r>
        <w:rPr>
          <w:rFonts w:hint="eastAsia" w:ascii="仿宋_GB2312" w:hAnsi="仿宋_GB2312" w:eastAsia="仿宋_GB2312" w:cs="仿宋_GB2312"/>
          <w:sz w:val="32"/>
          <w:szCs w:val="32"/>
          <w:shd w:val="clear" w:color="auto" w:fill="FFFFFF"/>
        </w:rPr>
        <w:t>。</w:t>
      </w:r>
    </w:p>
    <w:p w14:paraId="0A2A119C">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b/>
          <w:bCs/>
          <w:color w:val="000000"/>
          <w:sz w:val="32"/>
          <w:szCs w:val="32"/>
          <w:shd w:val="clear" w:color="auto" w:fill="FFFFFF"/>
          <w:lang w:val="zh-CN"/>
        </w:rPr>
        <w:t>项目调整：</w:t>
      </w: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color w:val="auto"/>
          <w:kern w:val="2"/>
          <w:sz w:val="32"/>
          <w:szCs w:val="32"/>
          <w:highlight w:val="none"/>
          <w:lang w:val="zh-CN" w:eastAsia="zh-CN" w:bidi="ar-SA"/>
        </w:rPr>
        <w:t>024年度不涉及项目调整，该项指标得4分</w:t>
      </w:r>
      <w:r>
        <w:rPr>
          <w:rFonts w:hint="eastAsia" w:ascii="仿宋_GB2312" w:hAnsi="仿宋_GB2312" w:eastAsia="仿宋_GB2312" w:cs="仿宋_GB2312"/>
          <w:sz w:val="32"/>
          <w:szCs w:val="32"/>
          <w:shd w:val="clear" w:color="auto" w:fill="FFFFFF"/>
        </w:rPr>
        <w:t>。</w:t>
      </w:r>
    </w:p>
    <w:p w14:paraId="55266ADE">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执行结果：</w:t>
      </w:r>
      <w:r>
        <w:rPr>
          <w:rFonts w:hint="eastAsia" w:ascii="仿宋_GB2312" w:hAnsi="仿宋_GB2312" w:eastAsia="仿宋_GB2312" w:cs="仿宋_GB2312"/>
          <w:color w:val="auto"/>
          <w:kern w:val="2"/>
          <w:sz w:val="32"/>
          <w:szCs w:val="32"/>
          <w:highlight w:val="none"/>
          <w:lang w:val="zh-CN" w:eastAsia="zh-CN" w:bidi="ar-SA"/>
        </w:rPr>
        <w:t>部门预算项目预算执行率为99.94%，该项指标得4分。</w:t>
      </w:r>
    </w:p>
    <w:p w14:paraId="1D6C0548">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3.目标实现。（分值11分，自评10分）</w:t>
      </w:r>
    </w:p>
    <w:p w14:paraId="64932AE8">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目标完成：</w:t>
      </w:r>
      <w:r>
        <w:rPr>
          <w:rFonts w:hint="eastAsia" w:ascii="仿宋_GB2312" w:hAnsi="仿宋_GB2312" w:eastAsia="仿宋_GB2312" w:cs="仿宋_GB2312"/>
          <w:color w:val="auto"/>
          <w:kern w:val="2"/>
          <w:sz w:val="32"/>
          <w:szCs w:val="32"/>
          <w:highlight w:val="none"/>
          <w:lang w:val="zh-CN" w:eastAsia="zh-CN" w:bidi="ar-SA"/>
        </w:rPr>
        <w:t>2024年省人民政府科学城办事处纳入绩效目标管理的特定目标类项目3个，涉及预算121.56万元。包括：2024年医疗服务与保障能力提升（卫生健康人才培养）中央补助资金9.62万元,主要用于万名医师支援农村工程；2024年卫生健康省级补助资金100万元，主要用于临床重点专科建设；2024年重大传染病防控中央补助资金11.94万元，主要用于慢病管理；该项指标得4分。</w:t>
      </w:r>
    </w:p>
    <w:p w14:paraId="60BFDE95">
      <w:pPr>
        <w:keepNext w:val="0"/>
        <w:keepLines w:val="0"/>
        <w:pageBreakBefore w:val="0"/>
        <w:kinsoku/>
        <w:wordWrap/>
        <w:overflowPunct/>
        <w:topLinePunct w:val="0"/>
        <w:bidi w:val="0"/>
        <w:snapToGrid w:val="0"/>
        <w:spacing w:line="560" w:lineRule="exact"/>
        <w:ind w:firstLine="643"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目标偏离：</w:t>
      </w:r>
      <w:r>
        <w:rPr>
          <w:rFonts w:hint="eastAsia" w:ascii="仿宋_GB2312" w:hAnsi="仿宋_GB2312" w:eastAsia="仿宋_GB2312" w:cs="仿宋_GB2312"/>
          <w:color w:val="auto"/>
          <w:kern w:val="2"/>
          <w:sz w:val="32"/>
          <w:szCs w:val="32"/>
          <w:highlight w:val="none"/>
          <w:lang w:val="zh-CN" w:eastAsia="zh-CN" w:bidi="ar-SA"/>
        </w:rPr>
        <w:t>部门预算项目绩效目标数量指标实现程度与预期目标的偏离度较低，但部分指标可进一步完善，该项指标得3.5分。</w:t>
      </w:r>
    </w:p>
    <w:p w14:paraId="32CB011E">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实现效果</w:t>
      </w:r>
      <w:r>
        <w:rPr>
          <w:rFonts w:hint="eastAsia" w:ascii="仿宋_GB2312" w:hAnsi="仿宋_GB2312" w:eastAsia="仿宋_GB2312" w:cs="仿宋_GB2312"/>
          <w:color w:val="000000"/>
          <w:sz w:val="32"/>
          <w:szCs w:val="32"/>
          <w:shd w:val="clear" w:color="auto" w:fill="FFFFFF"/>
          <w:lang w:val="zh-CN"/>
        </w:rPr>
        <w:t>：</w:t>
      </w:r>
      <w:r>
        <w:rPr>
          <w:rFonts w:hint="eastAsia" w:ascii="仿宋_GB2312" w:hAnsi="仿宋_GB2312" w:eastAsia="仿宋_GB2312" w:cs="仿宋_GB2312"/>
          <w:color w:val="auto"/>
          <w:kern w:val="2"/>
          <w:sz w:val="32"/>
          <w:szCs w:val="32"/>
          <w:highlight w:val="none"/>
          <w:lang w:val="zh-CN" w:eastAsia="zh-CN" w:bidi="ar-SA"/>
        </w:rPr>
        <w:t>部门预算项目绩效目标效益指标实施效果较好，部分指标实施效果有待提升，该项指标得2.5分。</w:t>
      </w:r>
    </w:p>
    <w:p w14:paraId="2CCCB304">
      <w:pPr>
        <w:keepNext w:val="0"/>
        <w:keepLines w:val="0"/>
        <w:pageBreakBefore w:val="0"/>
        <w:widowControl/>
        <w:numPr>
          <w:ilvl w:val="0"/>
          <w:numId w:val="0"/>
        </w:numPr>
        <w:kinsoku/>
        <w:wordWrap/>
        <w:overflowPunct/>
        <w:topLinePunct w:val="0"/>
        <w:bidi w:val="0"/>
        <w:snapToGrid w:val="0"/>
        <w:spacing w:line="560" w:lineRule="exact"/>
        <w:ind w:firstLine="617" w:firstLineChars="193"/>
        <w:textAlignment w:val="auto"/>
        <w:rPr>
          <w:rFonts w:hint="eastAsia" w:ascii="CESI楷体-GB2312" w:hAnsi="CESI楷体-GB2312" w:eastAsia="CESI楷体-GB2312" w:cs="CESI楷体-GB2312"/>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㈢绩效结果应用情况</w:t>
      </w:r>
    </w:p>
    <w:p w14:paraId="28A4AF80">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b/>
          <w:bCs/>
          <w:color w:val="000000"/>
          <w:sz w:val="32"/>
          <w:szCs w:val="32"/>
          <w:shd w:val="clear" w:color="auto" w:fill="FFFFFF"/>
          <w:lang w:val="zh-CN"/>
        </w:rPr>
        <w:t>内部应用情况：</w:t>
      </w:r>
      <w:r>
        <w:rPr>
          <w:rFonts w:hint="eastAsia" w:ascii="仿宋_GB2312" w:hAnsi="仿宋_GB2312" w:eastAsia="仿宋_GB2312" w:cs="仿宋_GB2312"/>
          <w:color w:val="auto"/>
          <w:kern w:val="2"/>
          <w:sz w:val="32"/>
          <w:szCs w:val="32"/>
          <w:highlight w:val="none"/>
          <w:lang w:val="zh-CN" w:eastAsia="zh-CN" w:bidi="ar-SA"/>
        </w:rPr>
        <w:t>根据《公共事务管理部预算管理实施细则》（公管〔2017〕71号）将绩效考核结果与项目预算挂钩。</w:t>
      </w:r>
    </w:p>
    <w:p w14:paraId="0C2D233B">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b/>
          <w:bCs/>
          <w:color w:val="000000"/>
          <w:sz w:val="32"/>
          <w:szCs w:val="32"/>
          <w:shd w:val="clear" w:color="auto" w:fill="FFFFFF"/>
          <w:lang w:val="zh-CN"/>
        </w:rPr>
        <w:t>信息公开情况：</w:t>
      </w:r>
      <w:r>
        <w:rPr>
          <w:rFonts w:hint="eastAsia" w:ascii="仿宋_GB2312" w:hAnsi="仿宋_GB2312" w:eastAsia="仿宋_GB2312" w:cs="仿宋_GB2312"/>
          <w:color w:val="auto"/>
          <w:kern w:val="2"/>
          <w:sz w:val="32"/>
          <w:szCs w:val="32"/>
          <w:highlight w:val="none"/>
          <w:lang w:val="zh-CN" w:eastAsia="zh-CN" w:bidi="ar-SA"/>
        </w:rPr>
        <w:t>严格按照规定将绩效目标随部门年初预算同步公开，按规定将绩效目标完成情况、部门整体支出绩效自评报告等内容随部门年终决算同步公开</w:t>
      </w:r>
      <w:r>
        <w:rPr>
          <w:rFonts w:hint="eastAsia" w:ascii="仿宋_GB2312" w:hAnsi="仿宋_GB2312" w:eastAsia="仿宋_GB2312" w:cs="仿宋_GB2312"/>
          <w:color w:val="000000"/>
          <w:sz w:val="32"/>
          <w:szCs w:val="32"/>
          <w:shd w:val="clear" w:color="auto" w:fill="FFFFFF"/>
          <w:lang w:val="zh-CN"/>
        </w:rPr>
        <w:t>。</w:t>
      </w:r>
    </w:p>
    <w:p w14:paraId="24C4D1B4">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sz w:val="32"/>
          <w:szCs w:val="32"/>
          <w:shd w:val="clear" w:color="auto" w:fill="FFFFFF"/>
          <w:lang w:val="zh-CN"/>
        </w:rPr>
        <w:t>整改反馈情况：</w:t>
      </w:r>
      <w:r>
        <w:rPr>
          <w:rFonts w:hint="eastAsia" w:ascii="仿宋_GB2312" w:hAnsi="仿宋_GB2312" w:eastAsia="仿宋_GB2312" w:cs="仿宋_GB2312"/>
          <w:sz w:val="32"/>
          <w:szCs w:val="32"/>
        </w:rPr>
        <w:t>无。</w:t>
      </w:r>
    </w:p>
    <w:p w14:paraId="181A81C6">
      <w:pPr>
        <w:keepNext w:val="0"/>
        <w:keepLines w:val="0"/>
        <w:pageBreakBefore w:val="0"/>
        <w:widowControl/>
        <w:kinsoku/>
        <w:wordWrap/>
        <w:overflowPunct/>
        <w:topLinePunct w:val="0"/>
        <w:bidi w:val="0"/>
        <w:snapToGrid w:val="0"/>
        <w:spacing w:line="560" w:lineRule="exact"/>
        <w:ind w:firstLine="640" w:firstLineChars="200"/>
        <w:contextualSpacing/>
        <w:textAlignment w:val="auto"/>
        <w:rPr>
          <w:rFonts w:hint="eastAsia" w:ascii="CESI黑体-GB2312" w:hAnsi="CESI黑体-GB2312" w:eastAsia="CESI黑体-GB2312" w:cs="CESI黑体-GB2312"/>
          <w:color w:val="000000"/>
          <w:sz w:val="32"/>
          <w:szCs w:val="32"/>
          <w:shd w:val="clear" w:color="auto" w:fill="FFFFFF"/>
        </w:rPr>
      </w:pPr>
      <w:r>
        <w:rPr>
          <w:rFonts w:hint="eastAsia" w:ascii="CESI黑体-GB2312" w:hAnsi="CESI黑体-GB2312" w:eastAsia="CESI黑体-GB2312" w:cs="CESI黑体-GB2312"/>
          <w:color w:val="000000"/>
          <w:sz w:val="32"/>
          <w:szCs w:val="32"/>
          <w:shd w:val="clear" w:color="auto" w:fill="FFFFFF"/>
        </w:rPr>
        <w:t>四、评价结论及建议</w:t>
      </w:r>
    </w:p>
    <w:p w14:paraId="1BDEA7B3">
      <w:pPr>
        <w:pStyle w:val="27"/>
        <w:keepNext w:val="0"/>
        <w:keepLines w:val="0"/>
        <w:pageBreakBefore w:val="0"/>
        <w:widowControl/>
        <w:kinsoku/>
        <w:wordWrap/>
        <w:overflowPunct/>
        <w:topLinePunct w:val="0"/>
        <w:bidi w:val="0"/>
        <w:adjustRightInd w:val="0"/>
        <w:snapToGrid w:val="0"/>
        <w:spacing w:line="560" w:lineRule="exact"/>
        <w:ind w:firstLine="617" w:firstLineChars="193"/>
        <w:textAlignment w:val="auto"/>
        <w:rPr>
          <w:rFonts w:hint="eastAsia" w:ascii="方正楷体_GBK" w:hAnsi="方正楷体_GBK" w:eastAsia="方正楷体_GBK" w:cs="方正楷体_GBK"/>
          <w:color w:val="000000"/>
          <w:kern w:val="2"/>
          <w:sz w:val="32"/>
          <w:szCs w:val="32"/>
          <w:shd w:val="clear" w:color="auto" w:fill="FFFFFF"/>
          <w:lang w:val="zh-CN" w:eastAsia="zh-CN" w:bidi="ar-SA"/>
        </w:rPr>
      </w:pPr>
      <w:r>
        <w:rPr>
          <w:rFonts w:hint="eastAsia" w:ascii="方正楷体_GB2312" w:hAnsi="方正楷体_GB2312" w:eastAsia="方正楷体_GB2312" w:cs="方正楷体_GB2312"/>
          <w:color w:val="000000"/>
          <w:kern w:val="2"/>
          <w:sz w:val="32"/>
          <w:szCs w:val="32"/>
          <w:shd w:val="clear" w:color="auto" w:fill="FFFFFF"/>
          <w:lang w:val="zh-CN" w:eastAsia="zh-CN" w:bidi="ar-SA"/>
        </w:rPr>
        <w:t>㈠评价结论</w:t>
      </w:r>
    </w:p>
    <w:p w14:paraId="20589017">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科学城办事处管理制度健全，管理规范，预算编制及执行情况较好，整体支出合规，资产管理到位；我们高度重视自身建设和能力提升，全方位履行政府职能，为辖区居民营造出优质的社会环境。根据《财政厅关于开展省级部门预算绩效自评工作的通知》（川财绩〔2025〕4号）文件相关要求，四川省人民政府科学城办事处对本部门2024年度整体绩效情况开展了自评，自评体系总分100分，经逐条考核，我单位自评得分98.97分。</w:t>
      </w:r>
    </w:p>
    <w:p w14:paraId="3CF905F4">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楷体_GBK" w:hAnsi="方正楷体_GBK" w:eastAsia="方正楷体_GBK" w:cs="方正楷体_GBK"/>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㈡存在问题</w:t>
      </w:r>
    </w:p>
    <w:p w14:paraId="3D8C6F3A">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一是预算绩效管理工作有待进一步加强。</w:t>
      </w:r>
    </w:p>
    <w:p w14:paraId="0689036A">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二是目标制定不够量化细化。</w:t>
      </w:r>
    </w:p>
    <w:p w14:paraId="6A16A843">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lang w:val="zh-CN" w:eastAsia="zh-CN" w:bidi="ar-SA"/>
        </w:rPr>
        <w:t>三是预算执行方面个别项目执行进度滞后。</w:t>
      </w:r>
    </w:p>
    <w:p w14:paraId="6D569B55">
      <w:pPr>
        <w:keepNext w:val="0"/>
        <w:keepLines w:val="0"/>
        <w:pageBreakBefore w:val="0"/>
        <w:widowControl/>
        <w:kinsoku/>
        <w:wordWrap/>
        <w:overflowPunct/>
        <w:topLinePunct w:val="0"/>
        <w:bidi w:val="0"/>
        <w:snapToGrid w:val="0"/>
        <w:spacing w:line="560" w:lineRule="exact"/>
        <w:ind w:firstLine="617" w:firstLineChars="193"/>
        <w:textAlignment w:val="auto"/>
        <w:rPr>
          <w:rFonts w:hint="eastAsia" w:ascii="方正楷体_GBK" w:hAnsi="方正楷体_GBK" w:eastAsia="方正楷体_GBK" w:cs="方正楷体_GBK"/>
          <w:color w:val="000000"/>
          <w:sz w:val="32"/>
          <w:szCs w:val="32"/>
          <w:shd w:val="clear" w:color="auto" w:fill="FFFFFF"/>
          <w:lang w:val="zh-CN"/>
        </w:rPr>
      </w:pPr>
      <w:r>
        <w:rPr>
          <w:rFonts w:hint="eastAsia" w:ascii="方正楷体_GB2312" w:hAnsi="方正楷体_GB2312" w:eastAsia="方正楷体_GB2312" w:cs="方正楷体_GB2312"/>
          <w:color w:val="000000"/>
          <w:sz w:val="32"/>
          <w:szCs w:val="32"/>
          <w:shd w:val="clear" w:color="auto" w:fill="FFFFFF"/>
          <w:lang w:val="zh-CN"/>
        </w:rPr>
        <w:t>㈢改进建议</w:t>
      </w:r>
      <w:bookmarkStart w:id="57" w:name="_Hlk110546638"/>
    </w:p>
    <w:p w14:paraId="6B634CC7">
      <w:pPr>
        <w:keepNext w:val="0"/>
        <w:keepLines w:val="0"/>
        <w:pageBreakBefore w:val="0"/>
        <w:kinsoku/>
        <w:wordWrap/>
        <w:overflowPunct/>
        <w:topLinePunct w:val="0"/>
        <w:bidi w:val="0"/>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问题一：预算绩效管理工作有待进一步加强。</w:t>
      </w:r>
    </w:p>
    <w:p w14:paraId="2B71DEA4">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2025年将进一步完善绩效目标决策过程，科学合理设置绩效目标。将绩效目标单独作为一项议题进行集体决策，从决策方面高度重视绩效目标工作。强化绩效目标的前期编制工作，绩效目标编制是绩效管理工作的基础和起点，各业务部门与财务部门协同配合，确保部门横向和纵向信息沟通顺畅，提高目标编制的科学合理性、准确性、完整性、可执行性，使绩效目标能够合理引导并约束项目执行。</w:t>
      </w:r>
    </w:p>
    <w:p w14:paraId="0CFEBFF6">
      <w:pPr>
        <w:keepNext w:val="0"/>
        <w:keepLines w:val="0"/>
        <w:pageBreakBefore w:val="0"/>
        <w:kinsoku/>
        <w:wordWrap/>
        <w:overflowPunct/>
        <w:topLinePunct w:val="0"/>
        <w:bidi w:val="0"/>
        <w:spacing w:line="56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问题二：目标制定不够量化细化</w:t>
      </w:r>
      <w:r>
        <w:rPr>
          <w:rFonts w:hint="eastAsia" w:ascii="仿宋_GB2312" w:hAnsi="仿宋_GB2312" w:eastAsia="仿宋_GB2312" w:cs="仿宋_GB2312"/>
          <w:sz w:val="32"/>
          <w:szCs w:val="32"/>
        </w:rPr>
        <w:t>。</w:t>
      </w:r>
    </w:p>
    <w:p w14:paraId="20AD2768">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2025年将进一步加强预算编制工作，提高预算执行进度。充分调研、评估预算需求，合理安排预算，预算编制应该依据充分、测算过程明确具体，提高预算编制的准确性。作好预算支出总体安排，建立和完善预算执行情况的分析、监督和信息反馈机制，及时发现并解决影响预算执行进度的问题，改善预算执行进度偏慢的情况。加强基础管理工作，提高预算执行的规范性。</w:t>
      </w:r>
    </w:p>
    <w:p w14:paraId="6BFB9B98">
      <w:pPr>
        <w:keepNext w:val="0"/>
        <w:keepLines w:val="0"/>
        <w:pageBreakBefore w:val="0"/>
        <w:kinsoku/>
        <w:wordWrap/>
        <w:overflowPunct/>
        <w:topLinePunct w:val="0"/>
        <w:bidi w:val="0"/>
        <w:spacing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问题三：预算执行方面个别项目执行进度滞后。</w:t>
      </w:r>
    </w:p>
    <w:p w14:paraId="2333B2E3">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2025年将进一步加强绩效运行监控工作，动态调整目标及预算。绩效运行监控是全过程预算绩效管理体系的重要内容，是提高预算执行率和资金使用效益的有效抓手。高度重视绩效运行监控工作，认真履行预算绩效管理主体责任，对绩效目标实现程度和预算执行进度实施全覆盖、全时段“双监控”，通过绩效运行监控及时发现执行进度滞后、目标偏离预期、绩效水平不高、管理出现漏洞等问题，并采取相应措施纠偏纠错、分类处置。</w:t>
      </w:r>
    </w:p>
    <w:bookmarkEnd w:id="57"/>
    <w:p w14:paraId="1D49443B">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p>
    <w:p w14:paraId="6BA3021B">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附表：1.部门预算绩效自评打分表</w:t>
      </w:r>
    </w:p>
    <w:p w14:paraId="1D7C42B7">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2.部门整体绩效目标完成情况自评表</w:t>
      </w:r>
    </w:p>
    <w:p w14:paraId="63D016A8">
      <w:pPr>
        <w:keepNext w:val="0"/>
        <w:keepLines w:val="0"/>
        <w:pageBreakBefore w:val="0"/>
        <w:kinsoku/>
        <w:wordWrap/>
        <w:overflowPunct/>
        <w:topLinePunct w:val="0"/>
        <w:bidi w:val="0"/>
        <w:snapToGrid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3.部门预算项目支出绩效评价表</w:t>
      </w:r>
    </w:p>
    <w:p w14:paraId="6E7563DD">
      <w:pPr>
        <w:spacing w:line="578" w:lineRule="exact"/>
        <w:jc w:val="left"/>
        <w:rPr>
          <w:rFonts w:hint="eastAsia" w:ascii="Times New Roman" w:hAnsi="Times New Roman" w:eastAsia="黑体" w:cs="Times New Roman"/>
          <w:kern w:val="2"/>
          <w:szCs w:val="24"/>
        </w:rPr>
      </w:pPr>
      <w:r>
        <w:rPr>
          <w:rFonts w:hint="eastAsia" w:ascii="仿宋_GB2312" w:hAnsi="仿宋_GB2312" w:eastAsia="仿宋_GB2312" w:cs="仿宋_GB2312"/>
          <w:color w:val="000000"/>
          <w:sz w:val="32"/>
          <w:szCs w:val="32"/>
          <w:shd w:val="clear" w:color="auto" w:fill="FFFFFF"/>
        </w:rPr>
        <w:br w:type="page"/>
      </w:r>
      <w:r>
        <w:rPr>
          <w:rFonts w:ascii="Times New Roman" w:hAnsi="Times New Roman" w:eastAsia="黑体" w:cs="Times New Roman"/>
          <w:kern w:val="2"/>
          <w:szCs w:val="24"/>
        </w:rPr>
        <w:t>附表</w:t>
      </w:r>
      <w:r>
        <w:rPr>
          <w:rFonts w:hint="eastAsia" w:ascii="Times New Roman" w:hAnsi="Times New Roman" w:eastAsia="黑体" w:cs="Times New Roman"/>
          <w:kern w:val="2"/>
          <w:szCs w:val="24"/>
        </w:rPr>
        <w:t>1</w:t>
      </w:r>
    </w:p>
    <w:p w14:paraId="35299104">
      <w:pPr>
        <w:widowControl/>
        <w:adjustRightInd/>
        <w:spacing w:line="600" w:lineRule="exact"/>
        <w:jc w:val="center"/>
        <w:textAlignment w:val="center"/>
        <w:rPr>
          <w:rFonts w:hint="eastAsia" w:ascii="Times New Roman" w:hAnsi="Times New Roman" w:eastAsia="方正小标宋简体" w:cs="Times New Roman"/>
          <w:color w:val="000000"/>
          <w:sz w:val="44"/>
          <w:szCs w:val="44"/>
          <w:lang w:bidi="ar"/>
        </w:rPr>
      </w:pPr>
      <w:r>
        <w:rPr>
          <w:rFonts w:hint="eastAsia" w:ascii="Times New Roman" w:hAnsi="Times New Roman" w:eastAsia="方正小标宋简体" w:cs="Times New Roman"/>
          <w:color w:val="000000"/>
          <w:sz w:val="44"/>
          <w:szCs w:val="44"/>
          <w:lang w:bidi="ar"/>
        </w:rPr>
        <w:t>部门预算绩效自评打分表</w:t>
      </w:r>
    </w:p>
    <w:tbl>
      <w:tblPr>
        <w:tblStyle w:val="16"/>
        <w:tblW w:w="10230" w:type="dxa"/>
        <w:jc w:val="center"/>
        <w:tblLayout w:type="fixed"/>
        <w:tblCellMar>
          <w:top w:w="0" w:type="dxa"/>
          <w:left w:w="108" w:type="dxa"/>
          <w:bottom w:w="0" w:type="dxa"/>
          <w:right w:w="108" w:type="dxa"/>
        </w:tblCellMar>
      </w:tblPr>
      <w:tblGrid>
        <w:gridCol w:w="1004"/>
        <w:gridCol w:w="1462"/>
        <w:gridCol w:w="1665"/>
        <w:gridCol w:w="720"/>
        <w:gridCol w:w="4170"/>
        <w:gridCol w:w="795"/>
        <w:gridCol w:w="414"/>
      </w:tblGrid>
      <w:tr w14:paraId="5ADB6A5F">
        <w:tblPrEx>
          <w:tblCellMar>
            <w:top w:w="0" w:type="dxa"/>
            <w:left w:w="108" w:type="dxa"/>
            <w:bottom w:w="0" w:type="dxa"/>
            <w:right w:w="108" w:type="dxa"/>
          </w:tblCellMar>
        </w:tblPrEx>
        <w:trPr>
          <w:trHeight w:val="23" w:hRule="atLeast"/>
          <w:jc w:val="center"/>
        </w:trPr>
        <w:tc>
          <w:tcPr>
            <w:tcW w:w="4851" w:type="dxa"/>
            <w:gridSpan w:val="4"/>
            <w:tcBorders>
              <w:top w:val="single" w:color="000000" w:sz="4" w:space="0"/>
              <w:left w:val="single" w:color="000000" w:sz="4" w:space="0"/>
              <w:bottom w:val="single" w:color="000000" w:sz="4" w:space="0"/>
              <w:right w:val="single" w:color="000000" w:sz="4" w:space="0"/>
            </w:tcBorders>
            <w:noWrap w:val="0"/>
            <w:vAlign w:val="center"/>
          </w:tcPr>
          <w:p w14:paraId="7D347003">
            <w:pPr>
              <w:widowControl/>
              <w:adjustRightInd/>
              <w:spacing w:line="250" w:lineRule="exact"/>
              <w:jc w:val="center"/>
              <w:textAlignment w:val="center"/>
              <w:rPr>
                <w:rFonts w:ascii="黑体" w:hAnsi="宋体" w:eastAsia="黑体" w:cs="黑体"/>
                <w:color w:val="000000"/>
                <w:sz w:val="21"/>
                <w:szCs w:val="21"/>
              </w:rPr>
            </w:pPr>
            <w:r>
              <w:rPr>
                <w:rFonts w:hint="eastAsia" w:ascii="黑体" w:hAnsi="宋体" w:eastAsia="黑体" w:cs="黑体"/>
                <w:color w:val="000000"/>
                <w:sz w:val="21"/>
                <w:szCs w:val="21"/>
                <w:lang w:bidi="ar"/>
              </w:rPr>
              <w:t>绩效评价指标指标分值</w:t>
            </w:r>
          </w:p>
        </w:tc>
        <w:tc>
          <w:tcPr>
            <w:tcW w:w="4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675B4">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指标解释</w:t>
            </w:r>
          </w:p>
        </w:tc>
        <w:tc>
          <w:tcPr>
            <w:tcW w:w="795" w:type="dxa"/>
            <w:vMerge w:val="restart"/>
            <w:tcBorders>
              <w:top w:val="single" w:color="000000" w:sz="4" w:space="0"/>
              <w:left w:val="single" w:color="000000" w:sz="4" w:space="0"/>
              <w:right w:val="single" w:color="000000" w:sz="4" w:space="0"/>
            </w:tcBorders>
            <w:noWrap w:val="0"/>
            <w:vAlign w:val="center"/>
          </w:tcPr>
          <w:p w14:paraId="5FF58159">
            <w:pPr>
              <w:widowControl/>
              <w:adjustRightInd/>
              <w:spacing w:line="250" w:lineRule="exact"/>
              <w:jc w:val="center"/>
              <w:textAlignment w:val="center"/>
              <w:rPr>
                <w:rFonts w:hint="eastAsia" w:ascii="黑体" w:hAnsi="宋体" w:eastAsia="黑体" w:cs="黑体"/>
                <w:color w:val="000000"/>
                <w:sz w:val="21"/>
                <w:szCs w:val="21"/>
                <w:lang w:bidi="ar"/>
              </w:rPr>
            </w:pPr>
            <w:r>
              <w:rPr>
                <w:rFonts w:hint="eastAsia" w:ascii="黑体" w:hAnsi="宋体" w:eastAsia="黑体" w:cs="黑体"/>
                <w:color w:val="000000"/>
                <w:sz w:val="21"/>
                <w:szCs w:val="21"/>
                <w:lang w:bidi="ar"/>
              </w:rPr>
              <w:t>自评得分</w:t>
            </w:r>
          </w:p>
        </w:tc>
        <w:tc>
          <w:tcPr>
            <w:tcW w:w="414" w:type="dxa"/>
            <w:vMerge w:val="restart"/>
            <w:tcBorders>
              <w:top w:val="single" w:color="000000" w:sz="4" w:space="0"/>
              <w:left w:val="single" w:color="000000" w:sz="4" w:space="0"/>
              <w:right w:val="single" w:color="000000" w:sz="4" w:space="0"/>
            </w:tcBorders>
            <w:noWrap w:val="0"/>
            <w:vAlign w:val="center"/>
          </w:tcPr>
          <w:p w14:paraId="72D3BAD2">
            <w:pPr>
              <w:widowControl/>
              <w:adjustRightInd/>
              <w:spacing w:line="250" w:lineRule="exact"/>
              <w:jc w:val="center"/>
              <w:textAlignment w:val="center"/>
              <w:rPr>
                <w:rFonts w:hint="eastAsia" w:ascii="黑体" w:hAnsi="宋体" w:eastAsia="黑体" w:cs="黑体"/>
                <w:color w:val="000000"/>
                <w:sz w:val="21"/>
                <w:szCs w:val="21"/>
                <w:lang w:bidi="ar"/>
              </w:rPr>
            </w:pPr>
            <w:r>
              <w:rPr>
                <w:rFonts w:hint="eastAsia" w:ascii="黑体" w:hAnsi="宋体" w:eastAsia="黑体" w:cs="黑体"/>
                <w:color w:val="000000"/>
                <w:sz w:val="21"/>
                <w:szCs w:val="21"/>
                <w:lang w:bidi="ar"/>
              </w:rPr>
              <w:t>备注</w:t>
            </w:r>
          </w:p>
        </w:tc>
      </w:tr>
      <w:tr w14:paraId="541F678F">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nil"/>
            </w:tcBorders>
            <w:noWrap w:val="0"/>
            <w:vAlign w:val="center"/>
          </w:tcPr>
          <w:p w14:paraId="00A6A5A3">
            <w:pPr>
              <w:widowControl/>
              <w:adjustRightInd/>
              <w:spacing w:line="250" w:lineRule="exact"/>
              <w:jc w:val="center"/>
              <w:textAlignment w:val="center"/>
              <w:rPr>
                <w:rFonts w:hint="eastAsia" w:ascii="黑体" w:hAnsi="宋体" w:eastAsia="黑体" w:cs="黑体"/>
                <w:color w:val="000000"/>
                <w:sz w:val="21"/>
                <w:szCs w:val="21"/>
                <w:lang w:bidi="ar"/>
              </w:rPr>
            </w:pPr>
            <w:r>
              <w:rPr>
                <w:rFonts w:hint="eastAsia" w:ascii="黑体" w:hAnsi="宋体" w:eastAsia="黑体" w:cs="黑体"/>
                <w:color w:val="000000"/>
                <w:sz w:val="21"/>
                <w:szCs w:val="21"/>
                <w:lang w:bidi="ar"/>
              </w:rPr>
              <w:t>一级</w:t>
            </w:r>
          </w:p>
          <w:p w14:paraId="46FBC903">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指标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BA44F64">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二级指标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4B8C68">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三级指标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E3117F">
            <w:pPr>
              <w:widowControl/>
              <w:adjustRightInd/>
              <w:spacing w:line="250" w:lineRule="exact"/>
              <w:jc w:val="center"/>
              <w:textAlignment w:val="center"/>
              <w:rPr>
                <w:rFonts w:hint="eastAsia" w:ascii="黑体" w:hAnsi="宋体" w:eastAsia="黑体" w:cs="黑体"/>
                <w:color w:val="000000"/>
                <w:sz w:val="21"/>
                <w:szCs w:val="21"/>
              </w:rPr>
            </w:pPr>
            <w:r>
              <w:rPr>
                <w:rFonts w:hint="eastAsia" w:ascii="黑体" w:hAnsi="宋体" w:eastAsia="黑体" w:cs="黑体"/>
                <w:color w:val="000000"/>
                <w:sz w:val="21"/>
                <w:szCs w:val="21"/>
                <w:lang w:bidi="ar"/>
              </w:rPr>
              <w:t>指标</w:t>
            </w:r>
            <w:r>
              <w:rPr>
                <w:rFonts w:hint="eastAsia" w:ascii="黑体" w:hAnsi="宋体" w:eastAsia="黑体" w:cs="黑体"/>
                <w:color w:val="000000"/>
                <w:sz w:val="21"/>
                <w:szCs w:val="21"/>
                <w:lang w:bidi="ar"/>
              </w:rPr>
              <w:br w:type="textWrapping"/>
            </w:r>
            <w:r>
              <w:rPr>
                <w:rFonts w:hint="eastAsia" w:ascii="黑体" w:hAnsi="宋体" w:eastAsia="黑体" w:cs="黑体"/>
                <w:color w:val="000000"/>
                <w:sz w:val="21"/>
                <w:szCs w:val="21"/>
                <w:lang w:bidi="ar"/>
              </w:rPr>
              <w:t>分值</w:t>
            </w:r>
          </w:p>
        </w:tc>
        <w:tc>
          <w:tcPr>
            <w:tcW w:w="4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9088E">
            <w:pPr>
              <w:widowControl/>
              <w:adjustRightInd/>
              <w:spacing w:line="250" w:lineRule="exact"/>
              <w:jc w:val="center"/>
              <w:rPr>
                <w:rFonts w:hint="eastAsia" w:ascii="黑体" w:hAnsi="宋体" w:eastAsia="黑体" w:cs="黑体"/>
                <w:color w:val="000000"/>
                <w:sz w:val="21"/>
                <w:szCs w:val="21"/>
              </w:rPr>
            </w:pPr>
          </w:p>
        </w:tc>
        <w:tc>
          <w:tcPr>
            <w:tcW w:w="795" w:type="dxa"/>
            <w:vMerge w:val="continue"/>
            <w:tcBorders>
              <w:left w:val="single" w:color="000000" w:sz="4" w:space="0"/>
              <w:bottom w:val="single" w:color="000000" w:sz="4" w:space="0"/>
              <w:right w:val="single" w:color="000000" w:sz="4" w:space="0"/>
            </w:tcBorders>
            <w:noWrap w:val="0"/>
            <w:vAlign w:val="center"/>
          </w:tcPr>
          <w:p w14:paraId="6F37D652">
            <w:pPr>
              <w:widowControl/>
              <w:adjustRightInd/>
              <w:spacing w:line="250" w:lineRule="exact"/>
              <w:jc w:val="center"/>
              <w:rPr>
                <w:rFonts w:hint="eastAsia" w:ascii="黑体" w:hAnsi="宋体" w:eastAsia="黑体" w:cs="黑体"/>
                <w:color w:val="000000"/>
                <w:sz w:val="21"/>
                <w:szCs w:val="21"/>
              </w:rPr>
            </w:pPr>
          </w:p>
        </w:tc>
        <w:tc>
          <w:tcPr>
            <w:tcW w:w="414" w:type="dxa"/>
            <w:vMerge w:val="continue"/>
            <w:tcBorders>
              <w:left w:val="single" w:color="000000" w:sz="4" w:space="0"/>
              <w:bottom w:val="single" w:color="000000" w:sz="4" w:space="0"/>
              <w:right w:val="single" w:color="000000" w:sz="4" w:space="0"/>
            </w:tcBorders>
            <w:noWrap w:val="0"/>
            <w:vAlign w:val="center"/>
          </w:tcPr>
          <w:p w14:paraId="76E90F9E">
            <w:pPr>
              <w:widowControl/>
              <w:adjustRightInd/>
              <w:spacing w:line="250" w:lineRule="exact"/>
              <w:jc w:val="center"/>
              <w:rPr>
                <w:rFonts w:hint="eastAsia" w:ascii="黑体" w:hAnsi="宋体" w:eastAsia="黑体" w:cs="黑体"/>
                <w:color w:val="000000"/>
                <w:sz w:val="21"/>
                <w:szCs w:val="21"/>
              </w:rPr>
            </w:pPr>
          </w:p>
        </w:tc>
      </w:tr>
      <w:tr w14:paraId="5E8CCB9A">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0B818">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总体</w:t>
            </w:r>
          </w:p>
          <w:p w14:paraId="52923CC6">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绩效</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（65分）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83F699B">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履职效能</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C85A728">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部门履职效果</w:t>
            </w:r>
          </w:p>
        </w:tc>
        <w:tc>
          <w:tcPr>
            <w:tcW w:w="720" w:type="dxa"/>
            <w:tcBorders>
              <w:top w:val="nil"/>
              <w:left w:val="single" w:color="000000" w:sz="4" w:space="0"/>
              <w:bottom w:val="single" w:color="000000" w:sz="4" w:space="0"/>
              <w:right w:val="single" w:color="000000" w:sz="4" w:space="0"/>
            </w:tcBorders>
            <w:noWrap w:val="0"/>
            <w:vAlign w:val="center"/>
          </w:tcPr>
          <w:p w14:paraId="5374317D">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F45F109">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部门整体绩效目标中选定3-5个核心职能目标，反映该项职能目标完成效果情况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B56268">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15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327CD04">
            <w:pPr>
              <w:widowControl/>
              <w:adjustRightInd/>
              <w:spacing w:line="250" w:lineRule="exact"/>
              <w:jc w:val="left"/>
              <w:textAlignment w:val="center"/>
              <w:rPr>
                <w:rFonts w:hint="eastAsia" w:ascii="宋体" w:hAnsi="宋体" w:eastAsia="宋体" w:cs="宋体"/>
                <w:color w:val="000000"/>
                <w:sz w:val="21"/>
                <w:szCs w:val="21"/>
                <w:lang w:bidi="ar"/>
              </w:rPr>
            </w:pPr>
          </w:p>
        </w:tc>
      </w:tr>
      <w:tr w14:paraId="6AB576F2">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3F62D">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7FF02">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预算管理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（25分）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4D6BF2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预算编制质量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1B205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9925823">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部门是否严格按要求编制年初部门预算，年初预算编制的科学性和准确性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BDDDE2">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8</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4DFF569">
            <w:pPr>
              <w:widowControl/>
              <w:adjustRightInd/>
              <w:spacing w:line="250" w:lineRule="exact"/>
              <w:jc w:val="left"/>
              <w:textAlignment w:val="center"/>
              <w:rPr>
                <w:rFonts w:hint="eastAsia" w:ascii="宋体" w:hAnsi="宋体" w:eastAsia="宋体" w:cs="宋体"/>
                <w:color w:val="000000"/>
                <w:sz w:val="21"/>
                <w:szCs w:val="21"/>
                <w:lang w:bidi="ar"/>
              </w:rPr>
            </w:pPr>
          </w:p>
        </w:tc>
      </w:tr>
      <w:tr w14:paraId="71867B0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D60D4">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2075C">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52B74E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单位收入统筹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8041C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3C6A139">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部门统筹自有收入程度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8F1BF7">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71E8F403">
            <w:pPr>
              <w:widowControl/>
              <w:adjustRightInd/>
              <w:spacing w:line="250" w:lineRule="exact"/>
              <w:jc w:val="left"/>
              <w:textAlignment w:val="center"/>
              <w:rPr>
                <w:rFonts w:hint="eastAsia" w:ascii="宋体" w:hAnsi="宋体" w:eastAsia="宋体" w:cs="宋体"/>
                <w:color w:val="000000"/>
                <w:sz w:val="21"/>
                <w:szCs w:val="21"/>
                <w:lang w:bidi="ar"/>
              </w:rPr>
            </w:pPr>
          </w:p>
        </w:tc>
      </w:tr>
      <w:tr w14:paraId="4F7174A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3FC7B">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B7CBB">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7623F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支出执行进度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4FE0B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F65E357">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部门1至6月、1至10月预算执行情况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328F90">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5.97</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057AA8D6">
            <w:pPr>
              <w:widowControl/>
              <w:adjustRightInd/>
              <w:spacing w:line="250" w:lineRule="exact"/>
              <w:jc w:val="left"/>
              <w:textAlignment w:val="center"/>
              <w:rPr>
                <w:rFonts w:hint="eastAsia" w:ascii="宋体" w:hAnsi="宋体" w:eastAsia="宋体" w:cs="宋体"/>
                <w:color w:val="000000"/>
                <w:sz w:val="21"/>
                <w:szCs w:val="21"/>
                <w:lang w:bidi="ar"/>
              </w:rPr>
            </w:pPr>
          </w:p>
        </w:tc>
      </w:tr>
      <w:tr w14:paraId="02E4413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0F374">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447D0">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F35304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预算年终结余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A8546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08AB3E8">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部门整体年终预算结余情况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6E3DDBA">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2</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2ED5FA9">
            <w:pPr>
              <w:widowControl/>
              <w:adjustRightInd/>
              <w:spacing w:line="250" w:lineRule="exact"/>
              <w:jc w:val="left"/>
              <w:textAlignment w:val="center"/>
              <w:rPr>
                <w:rFonts w:hint="eastAsia" w:ascii="宋体" w:hAnsi="宋体" w:eastAsia="宋体" w:cs="宋体"/>
                <w:color w:val="000000"/>
                <w:sz w:val="21"/>
                <w:szCs w:val="21"/>
                <w:lang w:bidi="ar"/>
              </w:rPr>
            </w:pPr>
          </w:p>
        </w:tc>
      </w:tr>
      <w:tr w14:paraId="1EE4C54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8E73D">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AC1A4">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E5A5AB">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严控一般性支出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76BD09">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69ED6E0">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部门严控“三公”经费、会议、培训、差旅、办节办展、办公设备购置、信息网络及软件购置更新、课题经费等8项一般性支出情况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8C97B1">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B9AFC01">
            <w:pPr>
              <w:widowControl/>
              <w:adjustRightInd/>
              <w:spacing w:line="250" w:lineRule="exact"/>
              <w:jc w:val="left"/>
              <w:textAlignment w:val="center"/>
              <w:rPr>
                <w:rFonts w:hint="eastAsia" w:ascii="宋体" w:hAnsi="宋体" w:eastAsia="宋体" w:cs="宋体"/>
                <w:color w:val="000000"/>
                <w:sz w:val="21"/>
                <w:szCs w:val="21"/>
                <w:lang w:bidi="ar"/>
              </w:rPr>
            </w:pPr>
          </w:p>
        </w:tc>
      </w:tr>
      <w:tr w14:paraId="0217D90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F085">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8443E">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财务管理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（10分）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972C5D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财务管理制度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E2FC9D">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6CEA56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部门财务管理制度建立情况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6A8E4B">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BC6EBA3">
            <w:pPr>
              <w:widowControl/>
              <w:adjustRightInd/>
              <w:spacing w:line="250" w:lineRule="exact"/>
              <w:jc w:val="left"/>
              <w:textAlignment w:val="center"/>
              <w:rPr>
                <w:rFonts w:hint="eastAsia" w:ascii="宋体" w:hAnsi="宋体" w:eastAsia="宋体" w:cs="宋体"/>
                <w:color w:val="000000"/>
                <w:sz w:val="21"/>
                <w:szCs w:val="21"/>
                <w:lang w:bidi="ar"/>
              </w:rPr>
            </w:pPr>
          </w:p>
        </w:tc>
      </w:tr>
      <w:tr w14:paraId="4374CEF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ADB7D">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C9F80">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73C8EF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财务岗位设置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291BE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5B710782">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部门财务岗位设置是否符合相关财务管理制度要求</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2D8C86">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2</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1553002">
            <w:pPr>
              <w:widowControl/>
              <w:adjustRightInd/>
              <w:spacing w:line="250" w:lineRule="exact"/>
              <w:jc w:val="left"/>
              <w:textAlignment w:val="center"/>
              <w:rPr>
                <w:rFonts w:hint="eastAsia" w:ascii="宋体" w:hAnsi="宋体" w:eastAsia="宋体" w:cs="宋体"/>
                <w:color w:val="000000"/>
                <w:sz w:val="21"/>
                <w:szCs w:val="21"/>
                <w:lang w:bidi="ar"/>
              </w:rPr>
            </w:pPr>
          </w:p>
        </w:tc>
      </w:tr>
      <w:tr w14:paraId="630CDBCD">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DB20D">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BCD7B">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68E4A8">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资金使用规范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F13CA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BDB2E39">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部门资金使用是否符合相关财务管理制度规定</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76B26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40BDB96">
            <w:pPr>
              <w:widowControl/>
              <w:adjustRightInd/>
              <w:spacing w:line="250" w:lineRule="exact"/>
              <w:jc w:val="left"/>
              <w:textAlignment w:val="center"/>
              <w:rPr>
                <w:rFonts w:hint="eastAsia" w:ascii="宋体" w:hAnsi="宋体" w:eastAsia="宋体" w:cs="宋体"/>
                <w:color w:val="000000"/>
                <w:sz w:val="21"/>
                <w:szCs w:val="21"/>
                <w:lang w:bidi="ar"/>
              </w:rPr>
            </w:pPr>
          </w:p>
        </w:tc>
      </w:tr>
      <w:tr w14:paraId="0D630DF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1DF6E">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B5178">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资产管理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070A9A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人均资产变化率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1B7E5C">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8C6E903">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部门人均资产变化情况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5C55A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C0D5CC6">
            <w:pPr>
              <w:widowControl/>
              <w:adjustRightInd/>
              <w:spacing w:line="250" w:lineRule="exact"/>
              <w:jc w:val="left"/>
              <w:textAlignment w:val="center"/>
              <w:rPr>
                <w:rFonts w:hint="eastAsia" w:ascii="宋体" w:hAnsi="宋体" w:eastAsia="宋体" w:cs="宋体"/>
                <w:color w:val="000000"/>
                <w:sz w:val="21"/>
                <w:szCs w:val="21"/>
                <w:lang w:bidi="ar"/>
              </w:rPr>
            </w:pPr>
          </w:p>
        </w:tc>
      </w:tr>
      <w:tr w14:paraId="1BE5AA47">
        <w:tblPrEx>
          <w:tblCellMar>
            <w:top w:w="0" w:type="dxa"/>
            <w:left w:w="108" w:type="dxa"/>
            <w:bottom w:w="0" w:type="dxa"/>
            <w:right w:w="108" w:type="dxa"/>
          </w:tblCellMar>
        </w:tblPrEx>
        <w:trPr>
          <w:trHeight w:val="345"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37B7F">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FE145">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32935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资产利用率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B0B21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26A74CF">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部门资产超最低使用年限情况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9DF9D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8904653">
            <w:pPr>
              <w:widowControl/>
              <w:adjustRightInd/>
              <w:spacing w:line="250" w:lineRule="exact"/>
              <w:jc w:val="left"/>
              <w:textAlignment w:val="center"/>
              <w:rPr>
                <w:rFonts w:hint="eastAsia" w:ascii="宋体" w:hAnsi="宋体" w:eastAsia="宋体" w:cs="宋体"/>
                <w:color w:val="000000"/>
                <w:sz w:val="21"/>
                <w:szCs w:val="21"/>
                <w:lang w:bidi="ar"/>
              </w:rPr>
            </w:pPr>
          </w:p>
        </w:tc>
      </w:tr>
      <w:tr w14:paraId="1B9FDC07">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57A43A7">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总体</w:t>
            </w:r>
          </w:p>
          <w:p w14:paraId="3E84A169">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绩效</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（65分）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767EA156">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资产管理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E5C2C33">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资产盘活率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99226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5D335D8">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部门闲置一年以上的资产盘活情况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4E39DD">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77B0955">
            <w:pPr>
              <w:widowControl/>
              <w:adjustRightInd/>
              <w:spacing w:line="250" w:lineRule="exact"/>
              <w:jc w:val="left"/>
              <w:textAlignment w:val="center"/>
              <w:rPr>
                <w:rFonts w:hint="eastAsia" w:ascii="宋体" w:hAnsi="宋体" w:eastAsia="宋体" w:cs="宋体"/>
                <w:color w:val="000000"/>
                <w:sz w:val="21"/>
                <w:szCs w:val="21"/>
                <w:lang w:bidi="ar"/>
              </w:rPr>
            </w:pPr>
          </w:p>
        </w:tc>
      </w:tr>
      <w:tr w14:paraId="68BB509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FB73E">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B63BC">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采购管理</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（6分）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E001409">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支持中小企业发展</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682315">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47C1AE0">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部门是否严格执行政府采购促进中小企业发展相关管理办法</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13D61E4">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19414C8">
            <w:pPr>
              <w:widowControl/>
              <w:adjustRightInd/>
              <w:spacing w:line="250" w:lineRule="exact"/>
              <w:jc w:val="left"/>
              <w:textAlignment w:val="center"/>
              <w:rPr>
                <w:rFonts w:hint="eastAsia" w:ascii="宋体" w:hAnsi="宋体" w:eastAsia="宋体" w:cs="宋体"/>
                <w:color w:val="000000"/>
                <w:sz w:val="21"/>
                <w:szCs w:val="21"/>
                <w:lang w:bidi="ar"/>
              </w:rPr>
            </w:pPr>
          </w:p>
        </w:tc>
      </w:tr>
      <w:tr w14:paraId="056EAB08">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39FD0">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9D78D">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4A772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采购执行率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D89CE5">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AF820BF">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部门政府采购项目资金支付比例情况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D7FB82">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3</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54BE4C1">
            <w:pPr>
              <w:widowControl/>
              <w:adjustRightInd/>
              <w:spacing w:line="250" w:lineRule="exact"/>
              <w:jc w:val="left"/>
              <w:textAlignment w:val="center"/>
              <w:rPr>
                <w:rFonts w:hint="eastAsia" w:ascii="宋体" w:hAnsi="宋体" w:eastAsia="宋体" w:cs="宋体"/>
                <w:color w:val="000000"/>
                <w:sz w:val="21"/>
                <w:szCs w:val="21"/>
                <w:lang w:bidi="ar"/>
              </w:rPr>
            </w:pPr>
          </w:p>
        </w:tc>
      </w:tr>
      <w:tr w14:paraId="4D6E53B1">
        <w:tblPrEx>
          <w:tblCellMar>
            <w:top w:w="0" w:type="dxa"/>
            <w:left w:w="108" w:type="dxa"/>
            <w:bottom w:w="0" w:type="dxa"/>
            <w:right w:w="108" w:type="dxa"/>
          </w:tblCellMar>
        </w:tblPrEx>
        <w:trPr>
          <w:trHeight w:val="23"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8DD71">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项目</w:t>
            </w:r>
          </w:p>
          <w:p w14:paraId="75BF5216">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绩效</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（35分）</w:t>
            </w:r>
          </w:p>
        </w:tc>
        <w:tc>
          <w:tcPr>
            <w:tcW w:w="1462" w:type="dxa"/>
            <w:vMerge w:val="restart"/>
            <w:tcBorders>
              <w:top w:val="single" w:color="000000" w:sz="4" w:space="0"/>
              <w:left w:val="single" w:color="000000" w:sz="4" w:space="0"/>
              <w:bottom w:val="nil"/>
              <w:right w:val="single" w:color="000000" w:sz="4" w:space="0"/>
            </w:tcBorders>
            <w:noWrap w:val="0"/>
            <w:vAlign w:val="center"/>
          </w:tcPr>
          <w:p w14:paraId="7CF6ACA4">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项目决策</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124F7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决策程序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E77C3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9A7CF88">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部门预算项目设立是否按规定履行评估论证、申报程序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AC0706">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640DDDC">
            <w:pPr>
              <w:widowControl/>
              <w:adjustRightInd/>
              <w:spacing w:line="250" w:lineRule="exact"/>
              <w:jc w:val="left"/>
              <w:textAlignment w:val="center"/>
              <w:rPr>
                <w:rFonts w:hint="eastAsia" w:ascii="宋体" w:hAnsi="宋体" w:eastAsia="宋体" w:cs="宋体"/>
                <w:color w:val="000000"/>
                <w:sz w:val="21"/>
                <w:szCs w:val="21"/>
                <w:lang w:bidi="ar"/>
              </w:rPr>
            </w:pPr>
          </w:p>
        </w:tc>
      </w:tr>
      <w:tr w14:paraId="177B793A">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95838">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6BE11505">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20DB2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目标设置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5256F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21FFD10">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部门预算项目绩效目标与计划期内的任务量、预算安排的资金量匹配情况，绩效目标设置是否科学合理、规范完整、量化细化、预算匹配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6F476B">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94B6FA4">
            <w:pPr>
              <w:widowControl/>
              <w:adjustRightInd/>
              <w:spacing w:line="250" w:lineRule="exact"/>
              <w:jc w:val="left"/>
              <w:textAlignment w:val="center"/>
              <w:rPr>
                <w:rFonts w:hint="eastAsia" w:ascii="宋体" w:hAnsi="宋体" w:eastAsia="宋体" w:cs="宋体"/>
                <w:color w:val="000000"/>
                <w:sz w:val="21"/>
                <w:szCs w:val="21"/>
                <w:lang w:bidi="ar"/>
              </w:rPr>
            </w:pPr>
          </w:p>
        </w:tc>
      </w:tr>
      <w:tr w14:paraId="14350FB0">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142D1">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721F08B1">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BBEF32A">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项目入库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73DB0E8">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795C983">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部门预算项目是否在规定时间完成项目入库</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413534">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0E6D429">
            <w:pPr>
              <w:widowControl/>
              <w:adjustRightInd/>
              <w:spacing w:line="250" w:lineRule="exact"/>
              <w:jc w:val="left"/>
              <w:textAlignment w:val="center"/>
              <w:rPr>
                <w:rFonts w:hint="eastAsia" w:ascii="宋体" w:hAnsi="宋体" w:eastAsia="宋体" w:cs="宋体"/>
                <w:color w:val="000000"/>
                <w:sz w:val="21"/>
                <w:szCs w:val="21"/>
                <w:lang w:bidi="ar"/>
              </w:rPr>
            </w:pPr>
          </w:p>
        </w:tc>
      </w:tr>
      <w:tr w14:paraId="26014B2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58FFE">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nil"/>
              <w:right w:val="single" w:color="000000" w:sz="4" w:space="0"/>
            </w:tcBorders>
            <w:noWrap w:val="0"/>
            <w:vAlign w:val="center"/>
          </w:tcPr>
          <w:p w14:paraId="45E85182">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项目执行</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81B44B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执行同向</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6A375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DE389F4">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部门预算项目实际列支内容是否与绩效目标设置方向相符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8F1203">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2540ABCC">
            <w:pPr>
              <w:widowControl/>
              <w:adjustRightInd/>
              <w:spacing w:line="250" w:lineRule="exact"/>
              <w:jc w:val="left"/>
              <w:textAlignment w:val="center"/>
              <w:rPr>
                <w:rFonts w:hint="eastAsia" w:ascii="宋体" w:hAnsi="宋体" w:eastAsia="宋体" w:cs="宋体"/>
                <w:color w:val="000000"/>
                <w:sz w:val="21"/>
                <w:szCs w:val="21"/>
                <w:lang w:bidi="ar"/>
              </w:rPr>
            </w:pPr>
          </w:p>
        </w:tc>
      </w:tr>
      <w:tr w14:paraId="798DEF6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1D5BA">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0AC867E0">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nil"/>
              <w:right w:val="single" w:color="000000" w:sz="4" w:space="0"/>
            </w:tcBorders>
            <w:noWrap w:val="0"/>
            <w:vAlign w:val="center"/>
          </w:tcPr>
          <w:p w14:paraId="1B446E5E">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项目调整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B5271DB">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59F10D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部门预算项目是否采取对应调整措施</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B6B3B5">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6E0D26E">
            <w:pPr>
              <w:widowControl/>
              <w:adjustRightInd/>
              <w:spacing w:line="250" w:lineRule="exact"/>
              <w:jc w:val="left"/>
              <w:textAlignment w:val="center"/>
              <w:rPr>
                <w:rFonts w:hint="eastAsia" w:ascii="宋体" w:hAnsi="宋体" w:eastAsia="宋体" w:cs="宋体"/>
                <w:color w:val="000000"/>
                <w:sz w:val="21"/>
                <w:szCs w:val="21"/>
                <w:lang w:bidi="ar"/>
              </w:rPr>
            </w:pPr>
          </w:p>
        </w:tc>
      </w:tr>
      <w:tr w14:paraId="5C4D42AF">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68A82">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nil"/>
              <w:right w:val="single" w:color="000000" w:sz="4" w:space="0"/>
            </w:tcBorders>
            <w:noWrap w:val="0"/>
            <w:vAlign w:val="center"/>
          </w:tcPr>
          <w:p w14:paraId="2B473626">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7B006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执行结果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7B7D90">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1AAE7B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部门预算项目预算执行情况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8785FFF">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21C0A41">
            <w:pPr>
              <w:widowControl/>
              <w:adjustRightInd/>
              <w:spacing w:line="250" w:lineRule="exact"/>
              <w:jc w:val="left"/>
              <w:textAlignment w:val="center"/>
              <w:rPr>
                <w:rFonts w:hint="eastAsia" w:ascii="宋体" w:hAnsi="宋体" w:eastAsia="宋体" w:cs="宋体"/>
                <w:color w:val="000000"/>
                <w:sz w:val="21"/>
                <w:szCs w:val="21"/>
                <w:lang w:bidi="ar"/>
              </w:rPr>
            </w:pPr>
          </w:p>
        </w:tc>
      </w:tr>
      <w:tr w14:paraId="4765F1D3">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E61AC">
            <w:pPr>
              <w:widowControl/>
              <w:adjustRightInd/>
              <w:spacing w:line="250" w:lineRule="exact"/>
              <w:jc w:val="center"/>
              <w:rPr>
                <w:rFonts w:hint="eastAsia" w:ascii="宋体" w:hAnsi="宋体" w:eastAsia="宋体" w:cs="宋体"/>
                <w:b/>
                <w:color w:val="000000"/>
                <w:sz w:val="21"/>
                <w:szCs w:val="21"/>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4AD93">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目标实现</w:t>
            </w:r>
            <w:r>
              <w:rPr>
                <w:rFonts w:hint="eastAsia" w:ascii="宋体" w:hAnsi="宋体" w:eastAsia="宋体" w:cs="宋体"/>
                <w:b/>
                <w:color w:val="000000"/>
                <w:sz w:val="21"/>
                <w:szCs w:val="21"/>
                <w:lang w:bidi="ar"/>
              </w:rPr>
              <w:br w:type="textWrapping"/>
            </w:r>
            <w:r>
              <w:rPr>
                <w:rFonts w:hint="eastAsia" w:ascii="宋体" w:hAnsi="宋体" w:eastAsia="宋体" w:cs="宋体"/>
                <w:b/>
                <w:color w:val="000000"/>
                <w:sz w:val="21"/>
                <w:szCs w:val="21"/>
                <w:lang w:bidi="ar"/>
              </w:rPr>
              <w:t>（11分）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741765">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目标完成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89F082">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7830A1E">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部门预算项目绩效目标数量指标完成情况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A5EAC4">
            <w:pPr>
              <w:widowControl/>
              <w:adjustRightInd/>
              <w:spacing w:line="250" w:lineRule="exact"/>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sz w:val="21"/>
                <w:szCs w:val="21"/>
                <w:lang w:bidi="ar"/>
              </w:rPr>
              <w:t>4</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51F9607">
            <w:pPr>
              <w:widowControl/>
              <w:adjustRightInd/>
              <w:spacing w:line="250" w:lineRule="exact"/>
              <w:jc w:val="left"/>
              <w:textAlignment w:val="center"/>
              <w:rPr>
                <w:rFonts w:hint="eastAsia" w:ascii="宋体" w:hAnsi="宋体" w:eastAsia="宋体" w:cs="宋体"/>
                <w:color w:val="000000"/>
                <w:sz w:val="21"/>
                <w:szCs w:val="21"/>
                <w:lang w:bidi="ar"/>
              </w:rPr>
            </w:pPr>
          </w:p>
        </w:tc>
      </w:tr>
      <w:tr w14:paraId="1C517817">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C3D3C">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31995">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EB1BBA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目标偏离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A5D641">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7D14527">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部门预算项目绩效目标数量指标实现程度与预期目标的偏离情况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C75E4F">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3.5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03916F76">
            <w:pPr>
              <w:widowControl/>
              <w:adjustRightInd/>
              <w:spacing w:line="250" w:lineRule="exact"/>
              <w:jc w:val="left"/>
              <w:textAlignment w:val="center"/>
              <w:rPr>
                <w:rFonts w:hint="eastAsia" w:ascii="宋体" w:hAnsi="宋体" w:eastAsia="宋体" w:cs="宋体"/>
                <w:color w:val="000000"/>
                <w:sz w:val="21"/>
                <w:szCs w:val="21"/>
                <w:lang w:bidi="ar"/>
              </w:rPr>
            </w:pPr>
          </w:p>
        </w:tc>
      </w:tr>
      <w:tr w14:paraId="60DBF18E">
        <w:tblPrEx>
          <w:tblCellMar>
            <w:top w:w="0" w:type="dxa"/>
            <w:left w:w="108" w:type="dxa"/>
            <w:bottom w:w="0" w:type="dxa"/>
            <w:right w:w="108" w:type="dxa"/>
          </w:tblCellMar>
        </w:tblPrEx>
        <w:trPr>
          <w:trHeight w:val="2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64E18">
            <w:pPr>
              <w:widowControl/>
              <w:adjustRightInd/>
              <w:spacing w:line="250" w:lineRule="exact"/>
              <w:jc w:val="center"/>
              <w:rPr>
                <w:rFonts w:hint="eastAsia" w:ascii="宋体" w:hAnsi="宋体" w:eastAsia="宋体" w:cs="宋体"/>
                <w:b/>
                <w:color w:val="000000"/>
                <w:sz w:val="21"/>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2B91F">
            <w:pPr>
              <w:widowControl/>
              <w:adjustRightInd/>
              <w:spacing w:line="250" w:lineRule="exact"/>
              <w:jc w:val="center"/>
              <w:rPr>
                <w:rFonts w:hint="eastAsia" w:ascii="宋体" w:hAnsi="宋体" w:eastAsia="宋体" w:cs="宋体"/>
                <w:b/>
                <w:color w:val="000000"/>
                <w:sz w:val="21"/>
                <w:szCs w:val="21"/>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5A3624C">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实现效果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0C951E">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148F234">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部门预算项目绩效目标效益指标实施效果</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0FDE36">
            <w:pPr>
              <w:widowControl/>
              <w:adjustRightInd/>
              <w:spacing w:line="250" w:lineRule="exact"/>
              <w:jc w:val="center"/>
              <w:textAlignment w:val="center"/>
              <w:rPr>
                <w:rFonts w:ascii="宋体" w:hAnsi="宋体" w:eastAsia="宋体" w:cs="宋体"/>
                <w:color w:val="000000"/>
                <w:kern w:val="2"/>
                <w:sz w:val="21"/>
                <w:szCs w:val="21"/>
              </w:rPr>
            </w:pPr>
            <w:r>
              <w:rPr>
                <w:rFonts w:hint="eastAsia" w:ascii="宋体" w:hAnsi="宋体" w:eastAsia="宋体" w:cs="宋体"/>
                <w:color w:val="000000"/>
                <w:sz w:val="21"/>
                <w:szCs w:val="21"/>
                <w:lang w:bidi="ar"/>
              </w:rPr>
              <w:t>2.5</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6373E00">
            <w:pPr>
              <w:widowControl/>
              <w:adjustRightInd/>
              <w:spacing w:line="250" w:lineRule="exact"/>
              <w:jc w:val="left"/>
              <w:textAlignment w:val="center"/>
              <w:rPr>
                <w:rFonts w:hint="eastAsia" w:ascii="宋体" w:hAnsi="宋体" w:eastAsia="宋体" w:cs="宋体"/>
                <w:color w:val="000000"/>
                <w:sz w:val="21"/>
                <w:szCs w:val="21"/>
                <w:lang w:bidi="ar"/>
              </w:rPr>
            </w:pPr>
          </w:p>
        </w:tc>
      </w:tr>
      <w:tr w14:paraId="4C53640F">
        <w:tblPrEx>
          <w:tblCellMar>
            <w:top w:w="0" w:type="dxa"/>
            <w:left w:w="108" w:type="dxa"/>
            <w:bottom w:w="0" w:type="dxa"/>
            <w:right w:w="108" w:type="dxa"/>
          </w:tblCellMar>
        </w:tblPrEx>
        <w:trPr>
          <w:trHeight w:val="23" w:hRule="atLeast"/>
          <w:jc w:val="center"/>
        </w:trPr>
        <w:tc>
          <w:tcPr>
            <w:tcW w:w="1004" w:type="dxa"/>
            <w:tcBorders>
              <w:top w:val="single" w:color="000000" w:sz="4" w:space="0"/>
              <w:left w:val="single" w:color="000000" w:sz="4" w:space="0"/>
              <w:bottom w:val="single" w:color="000000" w:sz="4" w:space="0"/>
              <w:right w:val="single" w:color="000000" w:sz="4" w:space="0"/>
            </w:tcBorders>
            <w:noWrap w:val="0"/>
            <w:vAlign w:val="center"/>
          </w:tcPr>
          <w:p w14:paraId="4B83FC26">
            <w:pPr>
              <w:widowControl/>
              <w:adjustRightInd/>
              <w:spacing w:line="250" w:lineRule="exact"/>
              <w:jc w:val="center"/>
              <w:textAlignment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扣分</w:t>
            </w:r>
          </w:p>
          <w:p w14:paraId="14DD530F">
            <w:pPr>
              <w:widowControl/>
              <w:adjustRightInd/>
              <w:spacing w:line="25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bidi="ar"/>
              </w:rPr>
              <w:t>（10分）</w:t>
            </w:r>
          </w:p>
        </w:tc>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14:paraId="6AFEDBDF">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被评价部门配合度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E62634">
            <w:pPr>
              <w:widowControl/>
              <w:adjustRightInd/>
              <w:spacing w:line="25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4E396BC">
            <w:pPr>
              <w:widowControl/>
              <w:adjustRightInd/>
              <w:spacing w:line="25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被评价对象工作配合情况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2800BF">
            <w:pPr>
              <w:widowControl/>
              <w:adjustRightInd/>
              <w:spacing w:line="250" w:lineRule="exact"/>
              <w:jc w:val="left"/>
              <w:textAlignment w:val="center"/>
              <w:rPr>
                <w:rFonts w:hint="eastAsia" w:ascii="宋体" w:hAnsi="宋体" w:eastAsia="宋体" w:cs="宋体"/>
                <w:color w:val="000000"/>
                <w:sz w:val="21"/>
                <w:szCs w:val="21"/>
                <w:lang w:bidi="ar"/>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169CEB2">
            <w:pPr>
              <w:widowControl/>
              <w:adjustRightInd/>
              <w:spacing w:line="250" w:lineRule="exact"/>
              <w:jc w:val="left"/>
              <w:textAlignment w:val="center"/>
              <w:rPr>
                <w:rFonts w:hint="eastAsia" w:ascii="宋体" w:hAnsi="宋体" w:eastAsia="宋体" w:cs="宋体"/>
                <w:color w:val="000000"/>
                <w:sz w:val="21"/>
                <w:szCs w:val="21"/>
                <w:lang w:bidi="ar"/>
              </w:rPr>
            </w:pPr>
          </w:p>
        </w:tc>
      </w:tr>
    </w:tbl>
    <w:p w14:paraId="65C9016F">
      <w:pPr>
        <w:pStyle w:val="20"/>
        <w:spacing w:line="20" w:lineRule="exact"/>
      </w:pPr>
    </w:p>
    <w:p w14:paraId="0983BFF4">
      <w:pPr>
        <w:spacing w:line="240" w:lineRule="auto"/>
        <w:jc w:val="left"/>
        <w:rPr>
          <w:rFonts w:ascii="Times New Roman" w:hAnsi="Times New Roman" w:eastAsia="黑体" w:cs="Times New Roman"/>
          <w:kern w:val="2"/>
          <w:szCs w:val="24"/>
        </w:rPr>
      </w:pPr>
      <w:r>
        <w:rPr>
          <w:rFonts w:ascii="Times New Roman" w:hAnsi="Times New Roman" w:eastAsia="黑体" w:cs="Times New Roman"/>
          <w:kern w:val="2"/>
          <w:szCs w:val="24"/>
        </w:rPr>
        <w:br w:type="page"/>
      </w:r>
      <w:r>
        <w:rPr>
          <w:rFonts w:ascii="Times New Roman" w:hAnsi="Times New Roman" w:eastAsia="黑体" w:cs="Times New Roman"/>
          <w:kern w:val="2"/>
          <w:szCs w:val="24"/>
        </w:rPr>
        <w:t>附表</w:t>
      </w:r>
      <w:r>
        <w:rPr>
          <w:rFonts w:hint="eastAsia" w:ascii="Times New Roman" w:hAnsi="Times New Roman" w:eastAsia="黑体" w:cs="Times New Roman"/>
          <w:kern w:val="2"/>
          <w:szCs w:val="24"/>
        </w:rPr>
        <w:t>2</w:t>
      </w:r>
    </w:p>
    <w:tbl>
      <w:tblPr>
        <w:tblStyle w:val="16"/>
        <w:tblW w:w="0" w:type="auto"/>
        <w:jc w:val="center"/>
        <w:tblLayout w:type="autofit"/>
        <w:tblCellMar>
          <w:top w:w="15" w:type="dxa"/>
          <w:left w:w="15" w:type="dxa"/>
          <w:bottom w:w="15" w:type="dxa"/>
          <w:right w:w="15" w:type="dxa"/>
        </w:tblCellMar>
      </w:tblPr>
      <w:tblGrid>
        <w:gridCol w:w="563"/>
        <w:gridCol w:w="816"/>
        <w:gridCol w:w="1201"/>
        <w:gridCol w:w="2354"/>
        <w:gridCol w:w="631"/>
        <w:gridCol w:w="958"/>
        <w:gridCol w:w="1141"/>
        <w:gridCol w:w="406"/>
        <w:gridCol w:w="861"/>
      </w:tblGrid>
      <w:tr w14:paraId="733FEEBC">
        <w:tblPrEx>
          <w:tblCellMar>
            <w:top w:w="15" w:type="dxa"/>
            <w:left w:w="15" w:type="dxa"/>
            <w:bottom w:w="15" w:type="dxa"/>
            <w:right w:w="15" w:type="dxa"/>
          </w:tblCellMar>
        </w:tblPrEx>
        <w:trPr>
          <w:trHeight w:val="747" w:hRule="exact"/>
          <w:jc w:val="center"/>
        </w:trPr>
        <w:tc>
          <w:tcPr>
            <w:tcW w:w="0" w:type="auto"/>
            <w:gridSpan w:val="9"/>
            <w:noWrap w:val="0"/>
            <w:vAlign w:val="center"/>
          </w:tcPr>
          <w:p w14:paraId="040CAC19">
            <w:pPr>
              <w:widowControl/>
              <w:adjustRightInd/>
              <w:jc w:val="center"/>
              <w:textAlignment w:val="center"/>
              <w:rPr>
                <w:rFonts w:ascii="Times New Roman" w:hAnsi="Times New Roman" w:eastAsia="黑体" w:cs="Times New Roman"/>
                <w:color w:val="000000"/>
                <w:sz w:val="28"/>
                <w:szCs w:val="28"/>
              </w:rPr>
            </w:pPr>
            <w:r>
              <w:rPr>
                <w:rFonts w:ascii="Times New Roman" w:hAnsi="Times New Roman" w:eastAsia="方正小标宋简体" w:cs="Times New Roman"/>
                <w:color w:val="000000"/>
                <w:sz w:val="44"/>
                <w:szCs w:val="44"/>
                <w:lang w:bidi="ar"/>
              </w:rPr>
              <w:t>部门整体绩效目标完成情况自评表</w:t>
            </w:r>
          </w:p>
        </w:tc>
      </w:tr>
      <w:tr w14:paraId="2F4F8048">
        <w:tblPrEx>
          <w:tblCellMar>
            <w:top w:w="15" w:type="dxa"/>
            <w:left w:w="15" w:type="dxa"/>
            <w:bottom w:w="15" w:type="dxa"/>
            <w:right w:w="15" w:type="dxa"/>
          </w:tblCellMar>
        </w:tblPrEx>
        <w:trPr>
          <w:trHeight w:val="210" w:hRule="atLeast"/>
          <w:jc w:val="center"/>
        </w:trPr>
        <w:tc>
          <w:tcPr>
            <w:tcW w:w="0" w:type="auto"/>
            <w:gridSpan w:val="9"/>
            <w:noWrap w:val="0"/>
            <w:vAlign w:val="center"/>
          </w:tcPr>
          <w:p w14:paraId="78EB9431">
            <w:pPr>
              <w:widowControl/>
              <w:adjustRightInd/>
              <w:spacing w:line="300" w:lineRule="exact"/>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lang w:bidi="ar"/>
              </w:rPr>
              <w:t>（202</w:t>
            </w:r>
            <w:r>
              <w:rPr>
                <w:rFonts w:hint="eastAsia" w:eastAsia="宋体" w:cs="Times New Roman"/>
                <w:color w:val="000000"/>
                <w:sz w:val="28"/>
                <w:szCs w:val="28"/>
                <w:lang w:bidi="ar"/>
              </w:rPr>
              <w:t>4</w:t>
            </w:r>
            <w:r>
              <w:rPr>
                <w:rFonts w:ascii="Times New Roman" w:hAnsi="Times New Roman" w:eastAsia="宋体" w:cs="Times New Roman"/>
                <w:color w:val="000000"/>
                <w:sz w:val="28"/>
                <w:szCs w:val="28"/>
                <w:lang w:bidi="ar"/>
              </w:rPr>
              <w:t>年度）</w:t>
            </w:r>
          </w:p>
        </w:tc>
      </w:tr>
      <w:tr w14:paraId="454E8593">
        <w:tblPrEx>
          <w:tblCellMar>
            <w:top w:w="15" w:type="dxa"/>
            <w:left w:w="15" w:type="dxa"/>
            <w:bottom w:w="15" w:type="dxa"/>
            <w:right w:w="15" w:type="dxa"/>
          </w:tblCellMar>
        </w:tblPrEx>
        <w:trPr>
          <w:trHeight w:val="90" w:hRule="atLeast"/>
          <w:jc w:val="center"/>
        </w:trPr>
        <w:tc>
          <w:tcPr>
            <w:tcW w:w="0" w:type="auto"/>
            <w:gridSpan w:val="9"/>
            <w:tcBorders>
              <w:bottom w:val="single" w:color="000000" w:sz="4" w:space="0"/>
            </w:tcBorders>
            <w:noWrap w:val="0"/>
            <w:vAlign w:val="center"/>
          </w:tcPr>
          <w:p w14:paraId="6C3E7E3E">
            <w:pPr>
              <w:widowControl/>
              <w:adjustRightInd/>
              <w:spacing w:line="300" w:lineRule="exact"/>
              <w:jc w:val="right"/>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lang w:bidi="ar"/>
              </w:rPr>
              <w:t>单位：万元</w:t>
            </w:r>
          </w:p>
        </w:tc>
      </w:tr>
      <w:tr w14:paraId="10BE30AC">
        <w:tblPrEx>
          <w:tblCellMar>
            <w:top w:w="15" w:type="dxa"/>
            <w:left w:w="15" w:type="dxa"/>
            <w:bottom w:w="15" w:type="dxa"/>
            <w:right w:w="15" w:type="dxa"/>
          </w:tblCellMar>
        </w:tblPrEx>
        <w:trPr>
          <w:trHeight w:val="23"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0E2B99">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FAED40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省政府科学城办事处</w:t>
            </w:r>
          </w:p>
        </w:tc>
      </w:tr>
      <w:tr w14:paraId="56510D8D">
        <w:tblPrEx>
          <w:tblCellMar>
            <w:top w:w="15" w:type="dxa"/>
            <w:left w:w="15" w:type="dxa"/>
            <w:bottom w:w="15" w:type="dxa"/>
            <w:right w:w="15"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6B1CD8B">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年度部门整体支出预算</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0742EA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资金总额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6FBEEF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财政拨款</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A8B7F45">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其他资金</w:t>
            </w:r>
          </w:p>
        </w:tc>
      </w:tr>
      <w:tr w14:paraId="4B02504C">
        <w:tblPrEx>
          <w:tblCellMar>
            <w:top w:w="15" w:type="dxa"/>
            <w:left w:w="15" w:type="dxa"/>
            <w:bottom w:w="15" w:type="dxa"/>
            <w:right w:w="15"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A2DC74">
            <w:pPr>
              <w:widowControl/>
              <w:adjustRightInd/>
              <w:spacing w:line="300" w:lineRule="exact"/>
              <w:jc w:val="center"/>
              <w:rPr>
                <w:rFonts w:hint="eastAsia" w:ascii="宋体" w:hAnsi="宋体" w:eastAsia="宋体" w:cs="宋体"/>
                <w:color w:val="000000"/>
                <w:sz w:val="21"/>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3B008B2">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1411.00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98F674">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1411.00</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AF3907">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0.00</w:t>
            </w:r>
          </w:p>
        </w:tc>
      </w:tr>
      <w:tr w14:paraId="5A118348">
        <w:tblPrEx>
          <w:tblCellMar>
            <w:top w:w="15" w:type="dxa"/>
            <w:left w:w="15" w:type="dxa"/>
            <w:bottom w:w="15" w:type="dxa"/>
            <w:right w:w="15"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BD203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年度总体</w:t>
            </w:r>
          </w:p>
          <w:p w14:paraId="38D6A1F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目标</w:t>
            </w:r>
          </w:p>
        </w:tc>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5737921B">
            <w:pPr>
              <w:widowControl/>
              <w:adjustRightInd/>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完善政府职能，进一步提升行政效能，提高行政执法水平，推进政务服务标准化中心建设，保证平安科学城建设的稳步持续推进；促进公共服务与社会管理能力不断提升，民生、文化教育、公共卫生事业不断发展，市场经济秩序规范化建设，城市环境卫生不断优化，开展社区标准化、制度化、信息化建设，提升社区自治和服务水平，打造“一居一特色”具有科学城文化特点的和谐社区。 </w:t>
            </w:r>
          </w:p>
        </w:tc>
      </w:tr>
      <w:tr w14:paraId="246DCB78">
        <w:tblPrEx>
          <w:tblCellMar>
            <w:top w:w="15" w:type="dxa"/>
            <w:left w:w="15" w:type="dxa"/>
            <w:bottom w:w="15" w:type="dxa"/>
            <w:right w:w="15"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9DAC1C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年度主要</w:t>
            </w:r>
          </w:p>
          <w:p w14:paraId="38E0D570">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任务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2317511">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任务名称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AEB2497">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主要内容</w:t>
            </w:r>
          </w:p>
        </w:tc>
      </w:tr>
      <w:tr w14:paraId="647132DE">
        <w:tblPrEx>
          <w:tblCellMar>
            <w:top w:w="15" w:type="dxa"/>
            <w:left w:w="15" w:type="dxa"/>
            <w:bottom w:w="15" w:type="dxa"/>
            <w:right w:w="15" w:type="dxa"/>
          </w:tblCellMar>
        </w:tblPrEx>
        <w:trPr>
          <w:trHeight w:val="23"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0118AA5A">
            <w:pPr>
              <w:widowControl/>
              <w:adjustRightInd/>
              <w:spacing w:line="300" w:lineRule="exact"/>
              <w:jc w:val="center"/>
              <w:rPr>
                <w:rFonts w:hint="eastAsia" w:ascii="宋体" w:hAnsi="宋体" w:eastAsia="宋体" w:cs="宋体"/>
                <w:color w:val="000000"/>
                <w:sz w:val="21"/>
                <w:szCs w:val="21"/>
              </w:rPr>
            </w:pPr>
          </w:p>
        </w:tc>
        <w:tc>
          <w:tcPr>
            <w:tcW w:w="0" w:type="auto"/>
            <w:gridSpan w:val="2"/>
            <w:tcBorders>
              <w:top w:val="single" w:color="000000" w:sz="4" w:space="0"/>
              <w:left w:val="single" w:color="000000" w:sz="4" w:space="0"/>
              <w:bottom w:val="single" w:color="auto" w:sz="4" w:space="0"/>
              <w:right w:val="single" w:color="000000" w:sz="4" w:space="0"/>
            </w:tcBorders>
            <w:noWrap w:val="0"/>
            <w:vAlign w:val="center"/>
          </w:tcPr>
          <w:p w14:paraId="137D195A">
            <w:pPr>
              <w:widowControl/>
              <w:adjustRightInd/>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科学城办事处运行保障</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7BDE453">
            <w:pPr>
              <w:widowControl/>
              <w:adjustRightInd/>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科学城办事处日常运行保障、社会管理事务管理、辖区生活垃圾收集运行处置、辖区天网运行维护、信息化建设及运行维护、辖区道路及市政设施维修维护等</w:t>
            </w:r>
          </w:p>
        </w:tc>
      </w:tr>
      <w:tr w14:paraId="26F9FBB6">
        <w:tblPrEx>
          <w:tblCellMar>
            <w:top w:w="15" w:type="dxa"/>
            <w:left w:w="15" w:type="dxa"/>
            <w:bottom w:w="15" w:type="dxa"/>
            <w:right w:w="15" w:type="dxa"/>
          </w:tblCellMar>
        </w:tblPrEx>
        <w:trPr>
          <w:trHeight w:val="23" w:hRule="atLeast"/>
          <w:jc w:val="center"/>
        </w:trPr>
        <w:tc>
          <w:tcPr>
            <w:tcW w:w="0" w:type="auto"/>
            <w:vMerge w:val="restart"/>
            <w:tcBorders>
              <w:top w:val="single" w:color="auto" w:sz="4" w:space="0"/>
              <w:left w:val="single" w:color="auto" w:sz="4" w:space="0"/>
              <w:right w:val="single" w:color="000000" w:sz="4" w:space="0"/>
            </w:tcBorders>
            <w:noWrap w:val="0"/>
            <w:vAlign w:val="center"/>
          </w:tcPr>
          <w:p w14:paraId="1889E89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年度绩效</w:t>
            </w:r>
          </w:p>
          <w:p w14:paraId="63751C46">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指标</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101F58AD">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一级指标</w:t>
            </w:r>
          </w:p>
        </w:tc>
        <w:tc>
          <w:tcPr>
            <w:tcW w:w="0" w:type="auto"/>
            <w:tcBorders>
              <w:top w:val="single" w:color="auto" w:sz="4" w:space="0"/>
              <w:left w:val="single" w:color="000000" w:sz="4" w:space="0"/>
              <w:bottom w:val="single" w:color="000000" w:sz="4" w:space="0"/>
              <w:right w:val="single" w:color="auto" w:sz="4" w:space="0"/>
            </w:tcBorders>
            <w:noWrap w:val="0"/>
            <w:vAlign w:val="center"/>
          </w:tcPr>
          <w:p w14:paraId="41A86E9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二级指标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1E1AE9D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A0D1B">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绩效指标</w:t>
            </w:r>
          </w:p>
          <w:p w14:paraId="3759E14C">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78D632">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绩效指标值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77B09E">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绩效度量单位</w:t>
            </w:r>
          </w:p>
        </w:tc>
        <w:tc>
          <w:tcPr>
            <w:tcW w:w="0" w:type="auto"/>
            <w:tcBorders>
              <w:top w:val="single" w:color="000000" w:sz="4" w:space="0"/>
              <w:left w:val="single" w:color="000000" w:sz="4" w:space="0"/>
              <w:bottom w:val="single" w:color="000000" w:sz="4" w:space="0"/>
            </w:tcBorders>
            <w:noWrap w:val="0"/>
            <w:vAlign w:val="center"/>
          </w:tcPr>
          <w:p w14:paraId="3CF05BB9">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F7661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实际完成</w:t>
            </w:r>
          </w:p>
          <w:p w14:paraId="6D25B74A">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指标值</w:t>
            </w:r>
          </w:p>
        </w:tc>
      </w:tr>
      <w:tr w14:paraId="404AE572">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1988976B">
            <w:pPr>
              <w:widowControl/>
              <w:adjustRightInd/>
              <w:spacing w:line="30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right w:val="single" w:color="000000" w:sz="4" w:space="0"/>
            </w:tcBorders>
            <w:noWrap w:val="0"/>
            <w:vAlign w:val="center"/>
          </w:tcPr>
          <w:p w14:paraId="5BB5E85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产出指标</w:t>
            </w:r>
          </w:p>
        </w:tc>
        <w:tc>
          <w:tcPr>
            <w:tcW w:w="0" w:type="auto"/>
            <w:vMerge w:val="restart"/>
            <w:tcBorders>
              <w:top w:val="single" w:color="000000" w:sz="4" w:space="0"/>
              <w:left w:val="single" w:color="000000" w:sz="4" w:space="0"/>
              <w:right w:val="single" w:color="auto" w:sz="4" w:space="0"/>
            </w:tcBorders>
            <w:noWrap w:val="0"/>
            <w:vAlign w:val="center"/>
          </w:tcPr>
          <w:p w14:paraId="47D3969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数量指标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24F7CF5">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辖区生活垃圾处置量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4D9A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B8C5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718C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42BF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left w:val="single" w:color="000000" w:sz="4" w:space="0"/>
              <w:bottom w:val="single" w:color="000000" w:sz="4" w:space="0"/>
              <w:right w:val="single" w:color="000000" w:sz="4" w:space="0"/>
            </w:tcBorders>
            <w:noWrap w:val="0"/>
            <w:vAlign w:val="center"/>
          </w:tcPr>
          <w:p w14:paraId="6288A369">
            <w:pPr>
              <w:widowControl/>
              <w:adjustRightInd/>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6600</w:t>
            </w:r>
          </w:p>
        </w:tc>
      </w:tr>
      <w:tr w14:paraId="5B3057AF">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6EC1FEEF">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79D35D87">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105300A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44A0154F">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租车数量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120B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89019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C3E7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F41BB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3E3F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4317AF50">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0E771AF0">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1F4F0B1A">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25F6F4F1">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D886161">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服务辖区老年人人数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56A7B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0B43F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44AA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EE0DF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05A2BE">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12937人</w:t>
            </w:r>
          </w:p>
        </w:tc>
      </w:tr>
      <w:tr w14:paraId="2F7A6CC5">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1BAA7899">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3FA89F90">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32B17A84">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7EEC23A">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管理社区数量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15FFFB">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80596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67F8F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4FDD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A83D12">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r w14:paraId="331141C4">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3122B416">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0" w:type="auto"/>
            <w:vMerge w:val="continue"/>
            <w:tcBorders>
              <w:left w:val="single" w:color="000000" w:sz="4" w:space="0"/>
              <w:right w:val="single" w:color="000000" w:sz="4" w:space="0"/>
            </w:tcBorders>
            <w:noWrap w:val="0"/>
            <w:vAlign w:val="center"/>
          </w:tcPr>
          <w:p w14:paraId="4629A99A">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6328CD21">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FC87B9D">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管理下属职能数量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E827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FF8E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6DAE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8635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818A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r>
      <w:tr w14:paraId="746DD678">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6124129C">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09837ED5">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555A1C0A">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5483CD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设置环境监测点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55A87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90DFD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306A6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728E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C3972">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r>
      <w:tr w14:paraId="6CE508CE">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7F593DAD">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4DE2F818">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7FEF59D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A5F2799">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食品药品检测数量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8005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5E9AD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1350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3CD2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批次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BCB2A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6886EB">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1445</w:t>
            </w:r>
          </w:p>
        </w:tc>
      </w:tr>
      <w:tr w14:paraId="3264A8FE">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78BB923C">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6D5D97E1">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6833D7EC">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407C88B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完成办公及业务用房房屋建筑物维修维护数量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27E70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C426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D3754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座（处）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19E51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C3A13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r>
      <w:tr w14:paraId="0ACCE8CB">
        <w:tblPrEx>
          <w:tblCellMar>
            <w:top w:w="15" w:type="dxa"/>
            <w:left w:w="15" w:type="dxa"/>
            <w:bottom w:w="15" w:type="dxa"/>
            <w:right w:w="15" w:type="dxa"/>
          </w:tblCellMar>
        </w:tblPrEx>
        <w:trPr>
          <w:trHeight w:val="385" w:hRule="atLeast"/>
          <w:jc w:val="center"/>
        </w:trPr>
        <w:tc>
          <w:tcPr>
            <w:tcW w:w="0" w:type="auto"/>
            <w:vMerge w:val="continue"/>
            <w:tcBorders>
              <w:left w:val="single" w:color="auto" w:sz="4" w:space="0"/>
              <w:right w:val="single" w:color="000000" w:sz="4" w:space="0"/>
            </w:tcBorders>
            <w:noWrap w:val="0"/>
            <w:vAlign w:val="center"/>
          </w:tcPr>
          <w:p w14:paraId="3BA3D0FD">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16D26F20">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1D8BF89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2D3CB920">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完成天网工程设施设备运维数量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8F68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5C96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3697D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台套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CE7AC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915D7E">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r>
      <w:tr w14:paraId="7B6DF475">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4FDE585C">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2B2C494F">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auto" w:sz="4" w:space="0"/>
            </w:tcBorders>
            <w:noWrap w:val="0"/>
            <w:vAlign w:val="center"/>
          </w:tcPr>
          <w:p w14:paraId="7BCD86B5">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AEFD6CE">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完成政研课题数量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9A828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73700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F3DE3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篇（部）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6A288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B7A7F2">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1237D44F">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5483E95B">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1684CE54">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bottom w:val="single" w:color="000000" w:sz="4" w:space="0"/>
              <w:right w:val="single" w:color="auto" w:sz="4" w:space="0"/>
            </w:tcBorders>
            <w:noWrap w:val="0"/>
            <w:vAlign w:val="center"/>
          </w:tcPr>
          <w:p w14:paraId="6688E45C">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03B0E1E7">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辖区路灯照明控制系统维护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A10D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DC65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1046F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9913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90400">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01AD4274">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bottom w:val="single" w:color="auto" w:sz="4" w:space="0"/>
              <w:right w:val="single" w:color="000000" w:sz="4" w:space="0"/>
            </w:tcBorders>
            <w:noWrap w:val="0"/>
            <w:vAlign w:val="center"/>
          </w:tcPr>
          <w:p w14:paraId="3A989B12">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bottom w:val="single" w:color="auto" w:sz="4" w:space="0"/>
              <w:right w:val="single" w:color="000000" w:sz="4" w:space="0"/>
            </w:tcBorders>
            <w:noWrap w:val="0"/>
            <w:vAlign w:val="center"/>
          </w:tcPr>
          <w:p w14:paraId="07B32730">
            <w:pPr>
              <w:widowControl/>
              <w:adjustRightInd/>
              <w:spacing w:line="300" w:lineRule="exact"/>
              <w:jc w:val="left"/>
              <w:rPr>
                <w:rFonts w:hint="eastAsia" w:ascii="宋体" w:hAnsi="宋体" w:eastAsia="宋体" w:cs="宋体"/>
                <w:color w:val="000000"/>
                <w:sz w:val="21"/>
                <w:szCs w:val="21"/>
                <w:lang w:bidi="ar"/>
              </w:rPr>
            </w:pPr>
          </w:p>
        </w:tc>
        <w:tc>
          <w:tcPr>
            <w:tcW w:w="0" w:type="auto"/>
            <w:vMerge w:val="restart"/>
            <w:tcBorders>
              <w:top w:val="single" w:color="000000" w:sz="4" w:space="0"/>
              <w:left w:val="single" w:color="000000" w:sz="4" w:space="0"/>
              <w:bottom w:val="single" w:color="auto" w:sz="4" w:space="0"/>
              <w:right w:val="single" w:color="auto" w:sz="4" w:space="0"/>
            </w:tcBorders>
            <w:noWrap w:val="0"/>
            <w:vAlign w:val="center"/>
          </w:tcPr>
          <w:p w14:paraId="1FFF5ED0">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质量指标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7F71697">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办公及业务网络畅通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3F181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2ECBC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优良中低差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B29F2">
            <w:pPr>
              <w:widowControl/>
              <w:adjustRightInd/>
              <w:spacing w:line="300" w:lineRule="exact"/>
              <w:jc w:val="center"/>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BDCDD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19BED">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r>
      <w:tr w14:paraId="69CB7AAF">
        <w:tblPrEx>
          <w:tblCellMar>
            <w:top w:w="15" w:type="dxa"/>
            <w:left w:w="15" w:type="dxa"/>
            <w:bottom w:w="15" w:type="dxa"/>
            <w:right w:w="15"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697E90B7">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3534B079">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top w:val="single" w:color="auto" w:sz="4" w:space="0"/>
              <w:left w:val="single" w:color="000000" w:sz="4" w:space="0"/>
              <w:bottom w:val="single" w:color="auto" w:sz="4" w:space="0"/>
              <w:right w:val="single" w:color="auto" w:sz="4" w:space="0"/>
            </w:tcBorders>
            <w:noWrap w:val="0"/>
            <w:vAlign w:val="center"/>
          </w:tcPr>
          <w:p w14:paraId="498AED22">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05313D2B">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维修维护项目验收合格率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1564E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41D9E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3230E">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40CA0">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42754">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5FA37220">
        <w:tblPrEx>
          <w:tblCellMar>
            <w:top w:w="15" w:type="dxa"/>
            <w:left w:w="15" w:type="dxa"/>
            <w:bottom w:w="15" w:type="dxa"/>
            <w:right w:w="15" w:type="dxa"/>
          </w:tblCellMar>
        </w:tblPrEx>
        <w:trPr>
          <w:trHeight w:val="23" w:hRule="atLeast"/>
          <w:jc w:val="center"/>
        </w:trPr>
        <w:tc>
          <w:tcPr>
            <w:tcW w:w="0" w:type="auto"/>
            <w:vMerge w:val="continue"/>
            <w:tcBorders>
              <w:top w:val="single" w:color="auto" w:sz="4" w:space="0"/>
              <w:left w:val="single" w:color="auto" w:sz="4" w:space="0"/>
              <w:bottom w:val="single" w:color="auto" w:sz="4" w:space="0"/>
              <w:right w:val="single" w:color="000000" w:sz="4" w:space="0"/>
            </w:tcBorders>
            <w:noWrap w:val="0"/>
            <w:vAlign w:val="center"/>
          </w:tcPr>
          <w:p w14:paraId="3EEEC562">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14:paraId="556AC78F">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top w:val="single" w:color="auto" w:sz="4" w:space="0"/>
              <w:left w:val="single" w:color="000000" w:sz="4" w:space="0"/>
              <w:bottom w:val="single" w:color="auto" w:sz="4" w:space="0"/>
              <w:right w:val="single" w:color="auto" w:sz="4" w:space="0"/>
            </w:tcBorders>
            <w:noWrap w:val="0"/>
            <w:vAlign w:val="center"/>
          </w:tcPr>
          <w:p w14:paraId="5D604F3F">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7D53FCF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文体活动覆盖率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27A9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A762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7DEEA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67273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1B7259">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3588A0F3">
        <w:tblPrEx>
          <w:tblCellMar>
            <w:top w:w="15" w:type="dxa"/>
            <w:left w:w="15" w:type="dxa"/>
            <w:bottom w:w="15" w:type="dxa"/>
            <w:right w:w="15" w:type="dxa"/>
          </w:tblCellMar>
        </w:tblPrEx>
        <w:trPr>
          <w:trHeight w:val="23" w:hRule="atLeast"/>
          <w:jc w:val="center"/>
        </w:trPr>
        <w:tc>
          <w:tcPr>
            <w:tcW w:w="0" w:type="auto"/>
            <w:vMerge w:val="continue"/>
            <w:tcBorders>
              <w:top w:val="single" w:color="auto" w:sz="4" w:space="0"/>
              <w:left w:val="single" w:color="auto" w:sz="4" w:space="0"/>
              <w:right w:val="single" w:color="000000" w:sz="4" w:space="0"/>
            </w:tcBorders>
            <w:noWrap w:val="0"/>
            <w:vAlign w:val="center"/>
          </w:tcPr>
          <w:p w14:paraId="20FB5B0A">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14:paraId="1FE27798">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09E2BE31">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D4CF4C">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完成工作时效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3250CE">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CC13D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60C94E">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84C7C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1718E">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7A8C9C3">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0FE45045">
            <w:pPr>
              <w:widowControl/>
              <w:adjustRightInd/>
              <w:spacing w:line="30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right w:val="single" w:color="000000" w:sz="4" w:space="0"/>
            </w:tcBorders>
            <w:noWrap w:val="0"/>
            <w:vAlign w:val="center"/>
          </w:tcPr>
          <w:p w14:paraId="27CD5B77">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效益指标</w:t>
            </w:r>
          </w:p>
        </w:tc>
        <w:tc>
          <w:tcPr>
            <w:tcW w:w="0" w:type="auto"/>
            <w:vMerge w:val="restart"/>
            <w:tcBorders>
              <w:top w:val="single" w:color="000000" w:sz="4" w:space="0"/>
              <w:left w:val="single" w:color="000000" w:sz="4" w:space="0"/>
              <w:right w:val="single" w:color="000000" w:sz="4" w:space="0"/>
            </w:tcBorders>
            <w:noWrap w:val="0"/>
            <w:vAlign w:val="center"/>
          </w:tcPr>
          <w:p w14:paraId="72B3AC74">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B92216">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辖区内外服务单位群众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33929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CC94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2A9A6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0F8BD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05DFC9">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300</w:t>
            </w:r>
          </w:p>
        </w:tc>
      </w:tr>
      <w:tr w14:paraId="7A740730">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2579C0AE">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2D1A4AE9">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000000" w:sz="4" w:space="0"/>
            </w:tcBorders>
            <w:noWrap w:val="0"/>
            <w:vAlign w:val="center"/>
          </w:tcPr>
          <w:p w14:paraId="0BF75C67">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19F794">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对公共服务及社会管理能力的提升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8EE4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6CDBC8">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高中低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65AD8">
            <w:pPr>
              <w:widowControl/>
              <w:adjustRightInd/>
              <w:spacing w:line="300" w:lineRule="exact"/>
              <w:jc w:val="center"/>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746CF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9886C">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w:t>
            </w:r>
          </w:p>
        </w:tc>
      </w:tr>
      <w:tr w14:paraId="12C08A72">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6BE9430A">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03CF9D80">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000000" w:sz="4" w:space="0"/>
            </w:tcBorders>
            <w:noWrap w:val="0"/>
            <w:vAlign w:val="center"/>
          </w:tcPr>
          <w:p w14:paraId="06164093">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E48416">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天网工程辖区内外提供视频线索占比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AD2189">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FC41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DC3D5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084C3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4DB29A">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r w14:paraId="60D15757">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59741158">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bottom w:val="single" w:color="000000" w:sz="4" w:space="0"/>
              <w:right w:val="single" w:color="000000" w:sz="4" w:space="0"/>
            </w:tcBorders>
            <w:noWrap w:val="0"/>
            <w:vAlign w:val="center"/>
          </w:tcPr>
          <w:p w14:paraId="0F3B2A8D">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bottom w:val="single" w:color="000000" w:sz="4" w:space="0"/>
              <w:right w:val="single" w:color="000000" w:sz="4" w:space="0"/>
            </w:tcBorders>
            <w:noWrap w:val="0"/>
            <w:vAlign w:val="center"/>
          </w:tcPr>
          <w:p w14:paraId="7829C00E">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E63A9">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促进生态环境改善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84D17A">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C6F22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好坏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E016BC">
            <w:pPr>
              <w:widowControl/>
              <w:adjustRightInd/>
              <w:spacing w:line="300" w:lineRule="exact"/>
              <w:jc w:val="center"/>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572E1">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B6CEE4">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好</w:t>
            </w:r>
          </w:p>
        </w:tc>
      </w:tr>
      <w:tr w14:paraId="5E70BF78">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48FCE77F">
            <w:pPr>
              <w:widowControl/>
              <w:adjustRightInd/>
              <w:spacing w:line="30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07DA9E">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0A514C">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6AD6F5">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7DCA0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FA7412">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83C67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B0F55">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96F1B7">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90.63</w:t>
            </w:r>
          </w:p>
        </w:tc>
      </w:tr>
      <w:tr w14:paraId="74F40D8C">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44C8A4F5">
            <w:pPr>
              <w:widowControl/>
              <w:adjustRightInd/>
              <w:spacing w:line="30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right w:val="single" w:color="000000" w:sz="4" w:space="0"/>
            </w:tcBorders>
            <w:noWrap w:val="0"/>
            <w:vAlign w:val="center"/>
          </w:tcPr>
          <w:p w14:paraId="6F95107B">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成本指标</w:t>
            </w:r>
          </w:p>
        </w:tc>
        <w:tc>
          <w:tcPr>
            <w:tcW w:w="0" w:type="auto"/>
            <w:vMerge w:val="restart"/>
            <w:tcBorders>
              <w:top w:val="single" w:color="000000" w:sz="4" w:space="0"/>
              <w:left w:val="single" w:color="000000" w:sz="4" w:space="0"/>
              <w:right w:val="single" w:color="000000" w:sz="4" w:space="0"/>
            </w:tcBorders>
            <w:noWrap w:val="0"/>
            <w:vAlign w:val="center"/>
          </w:tcPr>
          <w:p w14:paraId="386166DB">
            <w:pPr>
              <w:widowControl/>
              <w:adjustRightInd/>
              <w:spacing w:line="3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3C722D">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垃圾处置单价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99794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61BC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97B48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8AC5A8">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68A58">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总价合同</w:t>
            </w:r>
          </w:p>
        </w:tc>
      </w:tr>
      <w:tr w14:paraId="1AC46CC1">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right w:val="single" w:color="000000" w:sz="4" w:space="0"/>
            </w:tcBorders>
            <w:noWrap w:val="0"/>
            <w:vAlign w:val="center"/>
          </w:tcPr>
          <w:p w14:paraId="3079718D">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right w:val="single" w:color="000000" w:sz="4" w:space="0"/>
            </w:tcBorders>
            <w:noWrap w:val="0"/>
            <w:vAlign w:val="center"/>
          </w:tcPr>
          <w:p w14:paraId="5F67FBB3">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right w:val="single" w:color="000000" w:sz="4" w:space="0"/>
            </w:tcBorders>
            <w:noWrap w:val="0"/>
            <w:vAlign w:val="center"/>
          </w:tcPr>
          <w:p w14:paraId="744BB599">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33DD7">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天网工程维保年费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C2E977">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4D0D3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49335F">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AB3913">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95B16A">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115</w:t>
            </w:r>
          </w:p>
        </w:tc>
      </w:tr>
      <w:tr w14:paraId="7EE1EB53">
        <w:tblPrEx>
          <w:tblCellMar>
            <w:top w:w="15" w:type="dxa"/>
            <w:left w:w="15" w:type="dxa"/>
            <w:bottom w:w="15" w:type="dxa"/>
            <w:right w:w="15" w:type="dxa"/>
          </w:tblCellMar>
        </w:tblPrEx>
        <w:trPr>
          <w:trHeight w:val="23" w:hRule="atLeast"/>
          <w:jc w:val="center"/>
        </w:trPr>
        <w:tc>
          <w:tcPr>
            <w:tcW w:w="0" w:type="auto"/>
            <w:vMerge w:val="continue"/>
            <w:tcBorders>
              <w:left w:val="single" w:color="auto" w:sz="4" w:space="0"/>
              <w:bottom w:val="single" w:color="000000" w:sz="4" w:space="0"/>
              <w:right w:val="single" w:color="000000" w:sz="4" w:space="0"/>
            </w:tcBorders>
            <w:noWrap w:val="0"/>
            <w:vAlign w:val="center"/>
          </w:tcPr>
          <w:p w14:paraId="34A05039">
            <w:pPr>
              <w:widowControl/>
              <w:adjustRightInd/>
              <w:spacing w:line="300" w:lineRule="exact"/>
              <w:jc w:val="center"/>
              <w:rPr>
                <w:rFonts w:hint="eastAsia" w:ascii="宋体" w:hAnsi="宋体" w:eastAsia="宋体" w:cs="宋体"/>
                <w:color w:val="000000"/>
                <w:sz w:val="21"/>
                <w:szCs w:val="21"/>
              </w:rPr>
            </w:pPr>
          </w:p>
        </w:tc>
        <w:tc>
          <w:tcPr>
            <w:tcW w:w="0" w:type="auto"/>
            <w:vMerge w:val="continue"/>
            <w:tcBorders>
              <w:left w:val="single" w:color="000000" w:sz="4" w:space="0"/>
              <w:bottom w:val="single" w:color="000000" w:sz="4" w:space="0"/>
              <w:right w:val="single" w:color="000000" w:sz="4" w:space="0"/>
            </w:tcBorders>
            <w:noWrap w:val="0"/>
            <w:vAlign w:val="center"/>
          </w:tcPr>
          <w:p w14:paraId="35AA5EF8">
            <w:pPr>
              <w:widowControl/>
              <w:adjustRightInd/>
              <w:spacing w:line="300" w:lineRule="exact"/>
              <w:jc w:val="left"/>
              <w:rPr>
                <w:rFonts w:hint="eastAsia" w:ascii="宋体" w:hAnsi="宋体" w:eastAsia="宋体" w:cs="宋体"/>
                <w:color w:val="000000"/>
                <w:sz w:val="21"/>
                <w:szCs w:val="21"/>
                <w:lang w:bidi="ar"/>
              </w:rPr>
            </w:pPr>
          </w:p>
        </w:tc>
        <w:tc>
          <w:tcPr>
            <w:tcW w:w="0" w:type="auto"/>
            <w:vMerge w:val="continue"/>
            <w:tcBorders>
              <w:left w:val="single" w:color="000000" w:sz="4" w:space="0"/>
              <w:bottom w:val="single" w:color="000000" w:sz="4" w:space="0"/>
              <w:right w:val="single" w:color="000000" w:sz="4" w:space="0"/>
            </w:tcBorders>
            <w:noWrap w:val="0"/>
            <w:vAlign w:val="center"/>
          </w:tcPr>
          <w:p w14:paraId="1B259083">
            <w:pPr>
              <w:widowControl/>
              <w:adjustRightInd/>
              <w:spacing w:line="300" w:lineRule="exact"/>
              <w:jc w:val="left"/>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98D0E">
            <w:pPr>
              <w:widowControl/>
              <w:adjustRightInd/>
              <w:spacing w:line="30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8C8A5D">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7FE9C">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00A7B6">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8D6604">
            <w:pPr>
              <w:widowControl/>
              <w:adjustRightInd/>
              <w:spacing w:line="30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B5BACF">
            <w:pPr>
              <w:widowControl/>
              <w:adjustRightInd/>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97</w:t>
            </w:r>
          </w:p>
        </w:tc>
      </w:tr>
    </w:tbl>
    <w:p w14:paraId="5C6ED94F">
      <w:pPr>
        <w:pStyle w:val="8"/>
        <w:spacing w:after="0" w:line="578" w:lineRule="exact"/>
        <w:ind w:leftChars="0" w:firstLine="0" w:firstLineChars="0"/>
        <w:rPr>
          <w:rFonts w:ascii="Times New Roman" w:eastAsia="黑体"/>
          <w:szCs w:val="24"/>
        </w:rPr>
        <w:sectPr>
          <w:headerReference r:id="rId3" w:type="default"/>
          <w:footerReference r:id="rId4" w:type="default"/>
          <w:pgSz w:w="11962" w:h="16951"/>
          <w:pgMar w:top="2098" w:right="1474" w:bottom="1984" w:left="1587" w:header="851" w:footer="1332" w:gutter="0"/>
          <w:cols w:space="720" w:num="1"/>
          <w:docGrid w:type="lines" w:linePitch="443" w:charSpace="0"/>
        </w:sectPr>
      </w:pPr>
    </w:p>
    <w:p w14:paraId="6749FDEF">
      <w:pPr>
        <w:pStyle w:val="8"/>
        <w:spacing w:after="0" w:line="578" w:lineRule="exact"/>
        <w:ind w:leftChars="0" w:firstLine="0" w:firstLineChars="0"/>
        <w:rPr>
          <w:rFonts w:hint="eastAsia" w:ascii="Times New Roman" w:eastAsia="黑体"/>
          <w:szCs w:val="24"/>
        </w:rPr>
      </w:pPr>
      <w:r>
        <w:rPr>
          <w:rFonts w:ascii="Times New Roman" w:eastAsia="黑体"/>
          <w:szCs w:val="24"/>
        </w:rPr>
        <w:t>附表</w:t>
      </w:r>
      <w:r>
        <w:rPr>
          <w:rFonts w:hint="eastAsia" w:ascii="Times New Roman" w:eastAsia="黑体"/>
          <w:szCs w:val="24"/>
        </w:rPr>
        <w:t>3</w:t>
      </w:r>
    </w:p>
    <w:p w14:paraId="16352D95">
      <w:pPr>
        <w:widowControl/>
        <w:adjustRightInd/>
        <w:spacing w:line="578" w:lineRule="exact"/>
        <w:jc w:val="center"/>
        <w:textAlignment w:val="center"/>
        <w:rPr>
          <w:rFonts w:ascii="Times New Roman" w:hAnsi="Times New Roman" w:eastAsia="方正小标宋简体" w:cs="Times New Roman"/>
          <w:color w:val="000000"/>
          <w:sz w:val="44"/>
          <w:szCs w:val="44"/>
          <w:lang w:bidi="ar"/>
        </w:rPr>
      </w:pPr>
      <w:r>
        <w:rPr>
          <w:rFonts w:ascii="Times New Roman" w:hAnsi="Times New Roman" w:eastAsia="方正小标宋简体" w:cs="Times New Roman"/>
          <w:color w:val="000000"/>
          <w:sz w:val="44"/>
          <w:szCs w:val="44"/>
          <w:lang w:bidi="ar"/>
        </w:rPr>
        <w:t>部门预算项目支出绩效评价表</w:t>
      </w:r>
    </w:p>
    <w:p w14:paraId="1CB58635">
      <w:pPr>
        <w:widowControl/>
        <w:adjustRightInd/>
        <w:spacing w:line="578" w:lineRule="exact"/>
        <w:jc w:val="center"/>
        <w:textAlignment w:val="center"/>
        <w:rPr>
          <w:rFonts w:ascii="Times New Roman" w:hAnsi="Times New Roman" w:eastAsia="方正小标宋简体" w:cs="Times New Roman"/>
          <w:color w:val="000000"/>
          <w:lang w:bidi="ar"/>
        </w:rPr>
      </w:pPr>
      <w:r>
        <w:rPr>
          <w:rFonts w:ascii="Times New Roman" w:hAnsi="Times New Roman" w:eastAsia="方正小标宋简体" w:cs="Times New Roman"/>
          <w:color w:val="000000"/>
          <w:lang w:bidi="ar"/>
        </w:rPr>
        <w:t>（2024年度）</w:t>
      </w:r>
    </w:p>
    <w:tbl>
      <w:tblPr>
        <w:tblStyle w:val="16"/>
        <w:tblW w:w="0" w:type="auto"/>
        <w:tblInd w:w="93" w:type="dxa"/>
        <w:tblLayout w:type="autofit"/>
        <w:tblCellMar>
          <w:top w:w="0" w:type="dxa"/>
          <w:left w:w="108" w:type="dxa"/>
          <w:bottom w:w="0" w:type="dxa"/>
          <w:right w:w="108" w:type="dxa"/>
        </w:tblCellMar>
      </w:tblPr>
      <w:tblGrid>
        <w:gridCol w:w="647"/>
        <w:gridCol w:w="649"/>
        <w:gridCol w:w="654"/>
        <w:gridCol w:w="2356"/>
        <w:gridCol w:w="437"/>
        <w:gridCol w:w="434"/>
        <w:gridCol w:w="437"/>
        <w:gridCol w:w="962"/>
        <w:gridCol w:w="533"/>
        <w:gridCol w:w="637"/>
        <w:gridCol w:w="683"/>
      </w:tblGrid>
      <w:tr w14:paraId="159782A0">
        <w:tblPrEx>
          <w:tblCellMar>
            <w:top w:w="0" w:type="dxa"/>
            <w:left w:w="108" w:type="dxa"/>
            <w:bottom w:w="0" w:type="dxa"/>
            <w:right w:w="108" w:type="dxa"/>
          </w:tblCellMar>
        </w:tblPrEx>
        <w:trPr>
          <w:trHeight w:val="519"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212895D5">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sz w:val="30"/>
                <w:szCs w:val="30"/>
                <w:lang w:bidi="ar"/>
              </w:rPr>
              <w:t>部门预算项目支出绩效自评表（2024年度）</w:t>
            </w:r>
          </w:p>
        </w:tc>
      </w:tr>
      <w:tr w14:paraId="35C1C954">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94C630D">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F50080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51000024T000011846325-2024年卫生健康省级补助资金</w:t>
            </w:r>
          </w:p>
        </w:tc>
      </w:tr>
      <w:tr w14:paraId="6E802F19">
        <w:tblPrEx>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A51C4E">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DB91DE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省政府科学城办事处部门</w:t>
            </w:r>
          </w:p>
        </w:tc>
        <w:tc>
          <w:tcPr>
            <w:tcW w:w="0" w:type="auto"/>
            <w:tcBorders>
              <w:top w:val="nil"/>
              <w:left w:val="nil"/>
              <w:bottom w:val="nil"/>
              <w:right w:val="nil"/>
            </w:tcBorders>
            <w:noWrap w:val="0"/>
            <w:vAlign w:val="center"/>
          </w:tcPr>
          <w:p w14:paraId="4F7BEC8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2F6EDE">
            <w:pPr>
              <w:widowControl/>
              <w:adjustRightInd/>
              <w:spacing w:line="260" w:lineRule="exact"/>
              <w:jc w:val="left"/>
              <w:textAlignment w:val="center"/>
              <w:rPr>
                <w:rFonts w:ascii="宋体" w:hAnsi="宋体" w:eastAsia="宋体" w:cs="宋体"/>
                <w:color w:val="000000"/>
                <w:sz w:val="21"/>
                <w:szCs w:val="21"/>
                <w:lang w:bidi="ar"/>
              </w:rPr>
            </w:pPr>
            <w:r>
              <w:rPr>
                <w:rFonts w:hint="eastAsia" w:ascii="宋体" w:hAnsi="宋体" w:eastAsia="宋体" w:cs="宋体"/>
                <w:color w:val="000000"/>
                <w:sz w:val="21"/>
                <w:szCs w:val="21"/>
                <w:lang w:bidi="ar"/>
              </w:rPr>
              <w:t>四川省科学城医院</w:t>
            </w:r>
          </w:p>
        </w:tc>
      </w:tr>
      <w:tr w14:paraId="631A87CE">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1C2C6C0">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1F5E7F">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CA2D700">
            <w:pPr>
              <w:widowControl/>
              <w:adjustRightInd/>
              <w:spacing w:line="260" w:lineRule="exact"/>
              <w:jc w:val="center"/>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8E99C91">
            <w:pPr>
              <w:widowControl/>
              <w:adjustRightInd/>
              <w:spacing w:line="260" w:lineRule="exact"/>
              <w:jc w:val="center"/>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年度目标完成情况</w:t>
            </w:r>
          </w:p>
        </w:tc>
      </w:tr>
      <w:tr w14:paraId="148B0166">
        <w:tblPrEx>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7F1D30">
            <w:pPr>
              <w:widowControl/>
              <w:adjustRightInd/>
              <w:spacing w:line="260" w:lineRule="exact"/>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2F5829">
            <w:pPr>
              <w:widowControl/>
              <w:adjustRightInd/>
              <w:spacing w:line="260" w:lineRule="exact"/>
              <w:rPr>
                <w:rFonts w:hint="eastAsia" w:ascii="宋体" w:hAnsi="宋体" w:eastAsia="宋体" w:cs="宋体"/>
                <w:color w:val="000000"/>
                <w:sz w:val="21"/>
                <w:szCs w:val="21"/>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1307946">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1.专科医疗技术推进目标值的25-30%，a、成立专业组：拟成立血管组、功能神经外科组、脑肿瘤组，b、开展新技术2项，c、向微创神经外科发展。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2.住院患者医疗服务效率中的推进目标值的25-30%，初步搭建“人本位”医疗服务模式。</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3.完善本专业常见疾病的临床诊疗规范和临床路径，修订或新增临床路径1-2条，本专科中低风险组死亡率“0”。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4.拟今年再进副高1名,邀请国内知名神经外科或神经介入教授1名作为我科客座教授，定期来我院指导工作。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5.医教研推进目标值的25-30%，争取省市级立项1项。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2E78702">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1.专科医疗技术推进30%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2.住院患者医疗服务效率推进30%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3.完善本专业常见疾病的临床诊疗规范和修订临床路径2条，本专科中低风险组死亡率“0”</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4.未完成邀请客座教授</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5.医教研推进20%</w:t>
            </w:r>
          </w:p>
        </w:tc>
      </w:tr>
      <w:tr w14:paraId="069D6DBB">
        <w:tblPrEx>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E44CF5">
            <w:pPr>
              <w:widowControl/>
              <w:adjustRightInd/>
              <w:spacing w:line="260" w:lineRule="exac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606172">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A152709">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（一）提升专科医疗技术</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2024年转瞬即逝，我四川省科学城医院神经外科人在四川省卫健委、科学城卫健委及医院党委帮扶下，努力奋斗，克服万难，在大环境的阵痛期，我们2024年1-11月数据显示本专科DRGs组数达132 组，本专科病例组合指数(CMI)1.38 ，本专科四级手术占比 26.13 %，本专科RW≥2的病例占比 11 %。住院患者医疗服务效率中本专科费用消耗指数  1.01,本专科时间消耗指数1.05；虽然不尽人意，没有完成我们的目标，但是我们还是添置了新的设备，并开展了如下新工作：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1.2024年新增：功能神经外科亚专业。功能神经外科亚专业我科现目前开展手术有（1、三叉神经微血管减压术2、面神经微血管减压术）准备开展：DBS和LVA。目标值亚专业4个，目前完成3个。我科派出一名医师前往，空军军医大学第一附属医院（西京医院）进修学习神经功能专业 。</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2.开展两项新技术：1、神经内镜手术治疗脑出血2、PVA栓塞脑膜中动脉联合阿托伐他汀治疗非急性硬膜下血肿。</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3.参加国家会议 4次。参加的会议有：6月彭芋琪主任参加中国卒中学会第十届学术会。8月徐庆余主任参加神经外科领导力培训班。9月杨伟医生参加第七届川渝神经外科论坛。11月徐庆余主任 2024年中国脑卒中大会，作为5G移动卒中单元授牌单位上台授牌。省级学术会议3次。参加会议有:11月徐庆余主任作为青年委员参加神经病学专业委员会第四届青年委员会。11月彭芋琪主任参加重庆市卒中学会并参与学术授课。12月彭芋琪主任参加第18届四川省缺血性脑血管介入沙龙并参与病例分享。</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4.10.29日世界卒中日神经内外科联合五理堆社区开展科普义诊活动。科普内容主要包含出血和缺血性脑卒中的识别和防治。义诊人数约198人。本次活动让更多的人了解脑卒中的预防及危害，发病时能及时就医。</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我科开展5G移动卒中单元，脑卒中筛查义诊活动。出诊次数5次。大大缩短DNT时间。义诊了社区乡村等20多次。义诊人才达到1千多人。5G移动单元能做到高效急救，实时数据传输：5G移动卒中单元借助5G网络的高速传输特性，可以实时将患者的生命体征、医学影像等数据传回医院，使医院能够提前准备，大大节约了救治时间。远程会诊与指导：院内的专家可以通过视频会诊的方式，对救护车上的医护人员提供实时指导，提高急救的准确性和效率。5G移动卒中单元集成了多种高端医疗设备，包括但不限于CT扫描仪、呼吸机、除颤监护仪、心电图机、血生化仪等。这些设备通过5G网络与医院系统连接，实现数据的实时共享，支持医护人员在救护车上完成多项检查，如颅脑CT扫描、血常规、凝血、血糖、心电图等。 上车即入院：5G移动卒中单元使得卒中患者的急救过程前移，患者在救护车上就能接受到专业的检查和治疗，真正实现了“上车即入院”。无缝衔接：通过5G网络，救护车与医院之间的信息壁垒被打破，实现了院前急救与院内治疗的无缝衔接，为患者争取了宝贵的救治时间。降低患者的死亡率和致残率。5G移动卒中单元结合了5G、物联网、大数据等尖端技术，具有高效急救、设备先进、流程优化以及提升救治效果等多重优点，为卒中患者的救治提供了有力保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（二）优化服务模式</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1.建立四级手术及疑难病例多学科讨论，确保患者安全，提高患者满意度。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（1）医院层面确立院定四级手术MDT制度；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（2）科室层面确定疑难病例MDT制度；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2.近一步优化建立卒中绿色通道。</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在前期卒中中心的建设基础上，继续协调急诊科、放射科、检验科、导管室、麻醉科、我科等相关科室的工作连续性；如通过协调我院的静脉溶栓的中位数大大缩短；如在原有基础上协调放射科做急诊核磁共振对超窗脑卒中患者的诊断及进一步治疗评估有了影像学基础并对患者预后有了大大帮助，挽救了一部分超窗患者；又比如目前我院导管室尚未单独成科，晚上急诊会出现手术延迟的情况，通过协调放射科及麻醉科，卒中患者的桥接取栓治疗已经不用等待......</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优化大量脑出血患者到手术室的绿色通道。</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将出血性脑卒中纳入卒中绿道，通过协调急诊科、放射科、手术室、麻醉科；对于颅内大量出血患者，在急诊科就可完成术前准备，随即将患者送入手术室，从患者到院再到进手术室在到手术切皮这个过程我院最短记录为33分钟，真真体现急诊手术的急，通过优化流程使许多脑出血患者得以康复，在刚刚优化这个流程的那一个月就有5个瞳孔散大的患者生命得以延续，并有一个叫杨悦的患者（双瞳散大）走着出院。</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（三）保证医疗质量与安全</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1.从组织构架上实现院科两级质量安全控制小组；院级质控小组对全院进行质控并形成制度，科室质控小组对科室进行质控并做好记录。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2.切实落实18项核心制度：将每一项核心制度做实做好，科主任及质控小组做好监督及管理。</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落实四级手术及疑难病例多学科讨论：目前还没有成立固定的每一个病种的多学科组织构架，都是临时上报医务科进行协调讨论，拟下一步确定每一个四级手术病种都有固定的多学科组织构架和制度，以提高效率和保证质量安全。</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4.科室每周5进行手术回顾，尤其是对可以做的更好的手术进行分析总结。</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5、院级质控小组每月行科室检查，科室根据院级质控的反馈每月开展医疗质控会议，认真分析医疗质量不足点并进行持续整改。</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6、进一步加强临床路径管理，目前我科有临床路径8条，但是完成率教低，下一步我们将临床路径管理率要提升最终达到完成率达标。</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（四）专科人才队伍建设</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现有副高及以上人员5名，现一名医师已在竞聘副高流程。派送2技术骨干到国内知名医疗机构（首都医科大学宣武医院、空军军医大学第一附属医院(西京医院)）学习深造专科技术。其中杜富华医生派送到首都医科大学宣武医院，神经外科重症组进修。回院后主要负责神经外科重症病人管理。史亮医生派送到空军军医大学第一附属医院(西京医院)，神经内科进修，回院后协助功能神经外科亚专业组开展相关工作。拟明年引进神经外科研究生一名，今年已完成面试并签署协议。</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（五）深化医教研协同发展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1.提高专科科研能力，加强临床科研，获批专利1个。《一种神经介入治疗术后护理装置的专利》</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2.专著1部《当代神经外科诊疗进展》</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3.核心期刊论文1篇《蛛网膜出血患者外周血NLR、LMR、PLR和SH值变化的临床意义》</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4.2024年开展四川省继续医学教育项目“基层脑血管疾病诊治进展学习班”听课人数119人。辐射全四川省内，授课老师请到了京天坛医院宋立刚教授、北京三博脑科医院杨庆哲教授、四川大学华西医院谢晓东教授、中国卒中学会何士大教授、四川大学华西医院周沐科教授、四川大学华西医院胡发云教授、陆军军医大学附属新桥医院等进行授课。实现内外科协助，让大家受益匪浅。</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5.2024年市级继续教育项目“心脑介入微创急危重症护理”听课人数达240人，请国内知名教授授课。让护理同仁有学习机会，心脑同步治疗的重要性。</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6.显微手术培训实验室:培训科室医生显微操作训练，如显微镜下行血管吻合等。</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7.脑血管介入手术培训实验室:培训医生神经介入操作培训，脑血管介入治疗及脑血管造影的模拟训练。</w:t>
            </w:r>
          </w:p>
        </w:tc>
      </w:tr>
      <w:tr w14:paraId="4DA6723F">
        <w:tblPrEx>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7645B1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D45A8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3BF0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723D1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94303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5276B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36B4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6A7C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DA863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原因</w:t>
            </w:r>
          </w:p>
        </w:tc>
      </w:tr>
      <w:tr w14:paraId="35B8AA07">
        <w:tblPrEx>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497A1B">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409BB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6884A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4FE3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78405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FBFF7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C8A1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8AD8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F5C53C">
            <w:pPr>
              <w:widowControl/>
              <w:adjustRightInd/>
              <w:spacing w:line="260" w:lineRule="exact"/>
              <w:jc w:val="left"/>
              <w:textAlignment w:val="center"/>
              <w:rPr>
                <w:rFonts w:ascii="黑体" w:hAnsi="黑体" w:eastAsia="黑体" w:cs="黑体"/>
                <w:i/>
                <w:iCs/>
                <w:color w:val="000000"/>
                <w:sz w:val="21"/>
                <w:szCs w:val="21"/>
              </w:rPr>
            </w:pPr>
          </w:p>
        </w:tc>
      </w:tr>
      <w:tr w14:paraId="1F59A14A">
        <w:tblPrEx>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BD4437">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9DFB4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00AA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159A5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AF078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6A019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B165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5203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D1C3F9">
            <w:pPr>
              <w:widowControl/>
              <w:adjustRightInd/>
              <w:spacing w:line="260" w:lineRule="exact"/>
              <w:rPr>
                <w:rFonts w:ascii="黑体" w:hAnsi="黑体" w:eastAsia="黑体" w:cs="黑体"/>
                <w:i/>
                <w:iCs/>
                <w:color w:val="000000"/>
                <w:sz w:val="21"/>
                <w:szCs w:val="21"/>
              </w:rPr>
            </w:pPr>
          </w:p>
        </w:tc>
      </w:tr>
      <w:tr w14:paraId="01A2207B">
        <w:tblPrEx>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03FF6F">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F595F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1703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EA487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3E6F4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3824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5E2C0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83E34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CF43D5">
            <w:pPr>
              <w:widowControl/>
              <w:adjustRightInd/>
              <w:spacing w:line="260" w:lineRule="exact"/>
              <w:rPr>
                <w:rFonts w:ascii="黑体" w:hAnsi="黑体" w:eastAsia="黑体" w:cs="黑体"/>
                <w:i/>
                <w:iCs/>
                <w:color w:val="000000"/>
                <w:sz w:val="21"/>
                <w:szCs w:val="21"/>
              </w:rPr>
            </w:pPr>
          </w:p>
        </w:tc>
      </w:tr>
      <w:tr w14:paraId="5CF34AE8">
        <w:tblPrEx>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47D628">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EEB9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3C712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93D50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45778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AD86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F3A9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ADD25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DB15F7">
            <w:pPr>
              <w:widowControl/>
              <w:adjustRightInd/>
              <w:spacing w:line="260" w:lineRule="exact"/>
              <w:rPr>
                <w:rFonts w:ascii="黑体" w:hAnsi="黑体" w:eastAsia="黑体" w:cs="黑体"/>
                <w:i/>
                <w:iCs/>
                <w:color w:val="000000"/>
                <w:sz w:val="21"/>
                <w:szCs w:val="21"/>
              </w:rPr>
            </w:pPr>
          </w:p>
        </w:tc>
      </w:tr>
      <w:tr w14:paraId="3EC6C1B4">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04DE0">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C83FF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EBCD81">
            <w:pPr>
              <w:widowControl/>
              <w:adjustRightInd/>
              <w:spacing w:line="260" w:lineRule="exact"/>
              <w:jc w:val="center"/>
              <w:rPr>
                <w:rFonts w:hint="eastAsia" w:ascii="微软雅黑" w:hAnsi="微软雅黑" w:eastAsia="微软雅黑" w:cs="微软雅黑"/>
                <w:i/>
                <w:iCs/>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23C42">
            <w:pPr>
              <w:widowControl/>
              <w:adjustRightInd/>
              <w:spacing w:line="260" w:lineRule="exact"/>
              <w:jc w:val="center"/>
              <w:rPr>
                <w:rFonts w:ascii="微软雅黑" w:hAnsi="微软雅黑" w:eastAsia="微软雅黑" w:cs="微软雅黑"/>
                <w:i/>
                <w:iCs/>
                <w:color w:val="000000"/>
                <w:sz w:val="21"/>
                <w:szCs w:val="21"/>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998746">
            <w:pPr>
              <w:widowControl/>
              <w:adjustRightInd/>
              <w:spacing w:line="260" w:lineRule="exact"/>
              <w:jc w:val="center"/>
              <w:rPr>
                <w:rFonts w:ascii="微软雅黑" w:hAnsi="微软雅黑" w:eastAsia="微软雅黑" w:cs="微软雅黑"/>
                <w:i/>
                <w:iCs/>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18F05D">
            <w:pPr>
              <w:widowControl/>
              <w:adjustRightInd/>
              <w:spacing w:line="260" w:lineRule="exact"/>
              <w:jc w:val="center"/>
              <w:rPr>
                <w:rFonts w:ascii="微软雅黑" w:hAnsi="微软雅黑" w:eastAsia="微软雅黑" w:cs="微软雅黑"/>
                <w:i/>
                <w:iCs/>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B5E1A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B4DD8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530F0A">
            <w:pPr>
              <w:widowControl/>
              <w:adjustRightInd/>
              <w:spacing w:line="260" w:lineRule="exact"/>
              <w:rPr>
                <w:rFonts w:ascii="黑体" w:hAnsi="黑体" w:eastAsia="黑体" w:cs="黑体"/>
                <w:i/>
                <w:iCs/>
                <w:color w:val="000000"/>
                <w:sz w:val="21"/>
                <w:szCs w:val="21"/>
              </w:rPr>
            </w:pPr>
          </w:p>
        </w:tc>
      </w:tr>
      <w:tr w14:paraId="67F7ADA6">
        <w:tblPrEx>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0CF671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D8DCE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C8AD3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0EF9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E5EF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79E38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A5FB2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021E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4CF9F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B9F6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3F5EC3">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未完成原因分析</w:t>
            </w:r>
          </w:p>
        </w:tc>
      </w:tr>
      <w:tr w14:paraId="21370708">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997E5">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78311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830AEB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数量指标</w:t>
            </w:r>
          </w:p>
        </w:tc>
        <w:tc>
          <w:tcPr>
            <w:tcW w:w="0" w:type="auto"/>
            <w:tcBorders>
              <w:top w:val="single" w:color="000000" w:sz="4" w:space="0"/>
              <w:left w:val="nil"/>
              <w:bottom w:val="single" w:color="000000" w:sz="4" w:space="0"/>
              <w:right w:val="single" w:color="000000" w:sz="4" w:space="0"/>
            </w:tcBorders>
            <w:noWrap w:val="0"/>
            <w:vAlign w:val="center"/>
          </w:tcPr>
          <w:p w14:paraId="58E2AFE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亚专科建设总数量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C8828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4FEBBD">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B0128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8EB9D">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D133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B5204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7026AA">
            <w:pPr>
              <w:widowControl/>
              <w:adjustRightInd/>
              <w:spacing w:line="260" w:lineRule="exact"/>
              <w:jc w:val="center"/>
              <w:rPr>
                <w:rFonts w:ascii="微软雅黑" w:hAnsi="微软雅黑" w:eastAsia="微软雅黑" w:cs="微软雅黑"/>
                <w:i/>
                <w:iCs/>
                <w:color w:val="FF0000"/>
                <w:sz w:val="21"/>
                <w:szCs w:val="21"/>
              </w:rPr>
            </w:pPr>
          </w:p>
        </w:tc>
      </w:tr>
      <w:tr w14:paraId="34AA591B">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102CEB">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D67E4F">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B6C431">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single" w:color="000000" w:sz="4" w:space="0"/>
              <w:right w:val="single" w:color="000000" w:sz="4" w:space="0"/>
            </w:tcBorders>
            <w:noWrap w:val="0"/>
            <w:vAlign w:val="center"/>
          </w:tcPr>
          <w:p w14:paraId="58B414B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高级职称人员总数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7EA02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639BCA">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92622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75DE54">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123F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3AE1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7.5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2CED24">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面试答辩准备不足，对申报材料中的技术细节掌握不牢。</w:t>
            </w:r>
          </w:p>
        </w:tc>
      </w:tr>
      <w:tr w14:paraId="479FB4A0">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9B1155">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F506B0">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457B1">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nil"/>
              <w:right w:val="single" w:color="000000" w:sz="4" w:space="0"/>
            </w:tcBorders>
            <w:noWrap w:val="0"/>
            <w:vAlign w:val="center"/>
          </w:tcPr>
          <w:p w14:paraId="76FABB3E">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开展新技术新项目总数量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A41C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2FE6F">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246BF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56239">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5704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E4BE9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E6C0A5">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前期设备购买流程较多，购买设备回来也是年底。导致无法完成。</w:t>
            </w:r>
          </w:p>
        </w:tc>
      </w:tr>
      <w:tr w14:paraId="01034D95">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71CAAA">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4F5DC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963AF2">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single" w:color="000000" w:sz="4" w:space="0"/>
              <w:right w:val="single" w:color="000000" w:sz="4" w:space="0"/>
            </w:tcBorders>
            <w:noWrap/>
            <w:vAlign w:val="center"/>
          </w:tcPr>
          <w:p w14:paraId="3B2A1E8C">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外派医务人员进修总数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A02701">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90613E">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516EB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F3B48E">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859F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ECAE54">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B1424">
            <w:pPr>
              <w:widowControl/>
              <w:adjustRightInd/>
              <w:spacing w:line="260" w:lineRule="exact"/>
              <w:rPr>
                <w:rFonts w:hint="eastAsia" w:ascii="宋体" w:hAnsi="宋体" w:eastAsia="宋体" w:cs="宋体"/>
                <w:color w:val="000000"/>
                <w:sz w:val="21"/>
                <w:szCs w:val="21"/>
              </w:rPr>
            </w:pPr>
          </w:p>
        </w:tc>
      </w:tr>
      <w:tr w14:paraId="3125200C">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D5F24">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0DCB2F">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B0302">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nil"/>
              <w:bottom w:val="single" w:color="000000" w:sz="4" w:space="0"/>
              <w:right w:val="single" w:color="000000" w:sz="4" w:space="0"/>
            </w:tcBorders>
            <w:noWrap w:val="0"/>
            <w:vAlign w:val="center"/>
          </w:tcPr>
          <w:p w14:paraId="69B43F4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牵头建设区域专科联盟数量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B5516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B1D2B">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28019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3885C">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AED8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FF51D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6035C2">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因三甲复审，该项工作推近减慢</w:t>
            </w:r>
          </w:p>
        </w:tc>
      </w:tr>
      <w:tr w14:paraId="39808812">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641B28">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6FBC4A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18CF51">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可持续影响指标</w:t>
            </w:r>
          </w:p>
        </w:tc>
        <w:tc>
          <w:tcPr>
            <w:tcW w:w="0" w:type="auto"/>
            <w:tcBorders>
              <w:top w:val="nil"/>
              <w:left w:val="nil"/>
              <w:bottom w:val="single" w:color="000000" w:sz="4" w:space="0"/>
              <w:right w:val="single" w:color="000000" w:sz="4" w:space="0"/>
            </w:tcBorders>
            <w:noWrap w:val="0"/>
            <w:vAlign w:val="center"/>
          </w:tcPr>
          <w:p w14:paraId="7213CCC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接受下级医院急危重症和疑难病患转诊比例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BC440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EF5A61">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DDE2F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6FE3B">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717453">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1B79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F60A1E">
            <w:pPr>
              <w:widowControl/>
              <w:adjustRightInd/>
              <w:spacing w:line="260" w:lineRule="exact"/>
              <w:rPr>
                <w:rFonts w:hint="eastAsia" w:ascii="宋体" w:hAnsi="宋体" w:eastAsia="宋体" w:cs="宋体"/>
                <w:color w:val="000000"/>
                <w:sz w:val="21"/>
                <w:szCs w:val="21"/>
              </w:rPr>
            </w:pPr>
          </w:p>
        </w:tc>
      </w:tr>
      <w:tr w14:paraId="04A3F8BC">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0E8209">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CA9F0D">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474D13">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满意度指标</w:t>
            </w:r>
          </w:p>
        </w:tc>
        <w:tc>
          <w:tcPr>
            <w:tcW w:w="0" w:type="auto"/>
            <w:tcBorders>
              <w:top w:val="single" w:color="000000" w:sz="4" w:space="0"/>
              <w:left w:val="nil"/>
              <w:bottom w:val="single" w:color="000000" w:sz="4" w:space="0"/>
              <w:right w:val="single" w:color="000000" w:sz="4" w:space="0"/>
            </w:tcBorders>
            <w:noWrap w:val="0"/>
            <w:vAlign w:val="center"/>
          </w:tcPr>
          <w:p w14:paraId="6F163E8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本专科四级手术占比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46236F">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D4B21">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F1D55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496D16">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B1B1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A98EB">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7E30E6">
            <w:pPr>
              <w:widowControl/>
              <w:adjustRightInd/>
              <w:spacing w:line="260" w:lineRule="exact"/>
              <w:rPr>
                <w:rFonts w:hint="eastAsia" w:ascii="宋体" w:hAnsi="宋体" w:eastAsia="宋体" w:cs="宋体"/>
                <w:color w:val="000000"/>
                <w:sz w:val="21"/>
                <w:szCs w:val="21"/>
              </w:rPr>
            </w:pPr>
          </w:p>
        </w:tc>
      </w:tr>
      <w:tr w14:paraId="7F47C92C">
        <w:tblPrEx>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746D3C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D7A1E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88E38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82.5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052168">
            <w:pPr>
              <w:widowControl/>
              <w:adjustRightInd/>
              <w:spacing w:line="260" w:lineRule="exact"/>
              <w:jc w:val="left"/>
              <w:textAlignment w:val="center"/>
              <w:rPr>
                <w:rFonts w:hint="eastAsia" w:ascii="宋体" w:hAnsi="宋体" w:eastAsia="宋体" w:cs="宋体"/>
                <w:color w:val="000000"/>
                <w:sz w:val="21"/>
                <w:szCs w:val="21"/>
                <w:lang w:bidi="ar"/>
              </w:rPr>
            </w:pPr>
          </w:p>
        </w:tc>
      </w:tr>
      <w:tr w14:paraId="4250ADF0">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FBE6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C2E586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本年度按照年初预测目标值开展工作，任务基本完成，我们将继续落实“人本位”进一步提高患者满意度。</w:t>
            </w:r>
          </w:p>
        </w:tc>
      </w:tr>
      <w:tr w14:paraId="30D0AB16">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2E0A89">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DF8FCE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我院隶属于中国工程物理研究院（以下简称中物院），医院位于中物院辖区内，面对的患者主要是辖区内科研工作者和辖区居民，承担有重要的保障使命，面对患者数量不及地方医院多，病种类型不及地方医院广泛这一客观事实，造成我们的数据量不够；</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2、医院智慧化建设与要求有很大差距，造成数据误差及消耗了大量人力成本；</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3、绵阳医疗的发展与人口比例不协调，稍显无序；</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4、科室基础较差，人才储备不足，病人量少，病种相对单一。</w:t>
            </w:r>
          </w:p>
        </w:tc>
      </w:tr>
      <w:tr w14:paraId="0730E171">
        <w:tblPrEx>
          <w:tblCellMar>
            <w:top w:w="0" w:type="dxa"/>
            <w:left w:w="108" w:type="dxa"/>
            <w:bottom w:w="0" w:type="dxa"/>
            <w:right w:w="108" w:type="dxa"/>
          </w:tblCellMar>
        </w:tblPrEx>
        <w:trPr>
          <w:trHeight w:val="21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F777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959699C">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 xml:space="preserve"> 1. 拓展服务范围与宣传力度</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主动开展社区义诊、健康科普讲座，提升公众认知；与地方医疗机构建立转诊合作，吸引周边患者。</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2. 加速智慧医疗系统建设</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引入智能分诊系统和电子病历云平台，配置AI辅助诊断设备，建立标准化数据采集流程。</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3. 构建区域医疗协作网络</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与绵阳市三级医院建立专科联盟，开展远程会诊和病例共享，承接溢出病例资源。</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4. 实施人才双轨培养机制</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内部设立科研基金鼓励技术攻关，外部与医学院联合定向培养，提供住房补贴等人才引进政策。</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 xml:space="preserve">  5. 打造特色专科服务标杆</w:t>
            </w:r>
            <w:r>
              <w:rPr>
                <w:rFonts w:ascii="宋体" w:hAnsi="宋体" w:eastAsia="宋体" w:cs="宋体"/>
                <w:color w:val="000000"/>
                <w:sz w:val="21"/>
                <w:szCs w:val="21"/>
                <w:lang w:bidi="ar"/>
              </w:rPr>
              <w:br w:type="textWrapping"/>
            </w:r>
            <w:r>
              <w:rPr>
                <w:rFonts w:ascii="宋体" w:hAnsi="宋体" w:eastAsia="宋体" w:cs="宋体"/>
                <w:color w:val="000000"/>
                <w:sz w:val="21"/>
                <w:szCs w:val="21"/>
                <w:lang w:bidi="ar"/>
              </w:rPr>
              <w:t>聚焦辖区内科研人员高发的职业病、慢性病领域，配置高端体检设备和康复设施，形成差异化优势。</w:t>
            </w:r>
          </w:p>
        </w:tc>
      </w:tr>
      <w:tr w14:paraId="630DCC5D">
        <w:tblPrEx>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41711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项目负责人：</w:t>
            </w:r>
            <w:r>
              <w:rPr>
                <w:rFonts w:hint="eastAsia" w:ascii="宋体" w:hAnsi="宋体" w:eastAsia="宋体" w:cs="宋体"/>
                <w:color w:val="000000"/>
                <w:sz w:val="21"/>
                <w:szCs w:val="21"/>
                <w:lang w:bidi="ar"/>
              </w:rPr>
              <w:t>邱立志</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62F076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财务负责人：</w:t>
            </w:r>
            <w:r>
              <w:rPr>
                <w:rFonts w:hint="eastAsia" w:ascii="宋体" w:hAnsi="宋体" w:eastAsia="宋体" w:cs="宋体"/>
                <w:color w:val="000000"/>
                <w:sz w:val="21"/>
                <w:szCs w:val="21"/>
                <w:lang w:bidi="ar"/>
              </w:rPr>
              <w:t>甘云燕</w:t>
            </w:r>
          </w:p>
        </w:tc>
      </w:tr>
    </w:tbl>
    <w:p w14:paraId="4230BFD9">
      <w:pPr>
        <w:widowControl/>
        <w:adjustRightInd/>
        <w:spacing w:line="578" w:lineRule="exact"/>
        <w:jc w:val="left"/>
        <w:textAlignment w:val="center"/>
        <w:rPr>
          <w:rFonts w:ascii="Times New Roman" w:hAnsi="Times New Roman" w:eastAsia="方正小标宋简体" w:cs="Times New Roman"/>
          <w:color w:val="000000"/>
          <w:lang w:bidi="ar"/>
        </w:rPr>
      </w:pPr>
    </w:p>
    <w:p w14:paraId="2BFA9B1E">
      <w:pPr>
        <w:widowControl/>
        <w:adjustRightInd/>
        <w:spacing w:line="578" w:lineRule="exact"/>
        <w:jc w:val="left"/>
        <w:textAlignment w:val="center"/>
        <w:rPr>
          <w:rFonts w:ascii="Times New Roman" w:hAnsi="Times New Roman" w:eastAsia="方正小标宋简体" w:cs="Times New Roman"/>
          <w:color w:val="000000"/>
          <w:lang w:bidi="ar"/>
        </w:rPr>
      </w:pPr>
    </w:p>
    <w:p w14:paraId="07B2F33D">
      <w:pPr>
        <w:widowControl/>
        <w:adjustRightInd/>
        <w:spacing w:line="578" w:lineRule="exact"/>
        <w:jc w:val="left"/>
        <w:textAlignment w:val="center"/>
        <w:rPr>
          <w:rFonts w:ascii="Times New Roman" w:hAnsi="Times New Roman" w:eastAsia="方正小标宋简体" w:cs="Times New Roman"/>
          <w:color w:val="000000"/>
          <w:lang w:bidi="ar"/>
        </w:rPr>
      </w:pPr>
    </w:p>
    <w:p w14:paraId="66391CD3">
      <w:pPr>
        <w:widowControl/>
        <w:adjustRightInd/>
        <w:spacing w:line="578" w:lineRule="exact"/>
        <w:jc w:val="left"/>
        <w:textAlignment w:val="center"/>
        <w:rPr>
          <w:rFonts w:ascii="Times New Roman" w:hAnsi="Times New Roman" w:eastAsia="方正小标宋简体" w:cs="Times New Roman"/>
          <w:color w:val="000000"/>
          <w:lang w:bidi="ar"/>
        </w:rPr>
      </w:pPr>
    </w:p>
    <w:p w14:paraId="16908573">
      <w:pPr>
        <w:widowControl/>
        <w:adjustRightInd/>
        <w:spacing w:line="578" w:lineRule="exact"/>
        <w:jc w:val="left"/>
        <w:textAlignment w:val="center"/>
        <w:rPr>
          <w:rFonts w:ascii="Times New Roman" w:hAnsi="Times New Roman" w:eastAsia="方正小标宋简体" w:cs="Times New Roman"/>
          <w:color w:val="000000"/>
          <w:lang w:bidi="ar"/>
        </w:rPr>
      </w:pPr>
    </w:p>
    <w:p w14:paraId="70116647">
      <w:pPr>
        <w:widowControl/>
        <w:adjustRightInd/>
        <w:spacing w:line="578" w:lineRule="exact"/>
        <w:jc w:val="left"/>
        <w:textAlignment w:val="center"/>
        <w:rPr>
          <w:rFonts w:ascii="Times New Roman" w:hAnsi="Times New Roman" w:eastAsia="方正小标宋简体" w:cs="Times New Roman"/>
          <w:color w:val="000000"/>
          <w:lang w:bidi="ar"/>
        </w:rPr>
      </w:pPr>
    </w:p>
    <w:p w14:paraId="6703F6EE">
      <w:pPr>
        <w:widowControl/>
        <w:adjustRightInd/>
        <w:spacing w:line="578" w:lineRule="exact"/>
        <w:jc w:val="left"/>
        <w:textAlignment w:val="center"/>
        <w:rPr>
          <w:rFonts w:ascii="Times New Roman" w:hAnsi="Times New Roman" w:eastAsia="方正小标宋简体" w:cs="Times New Roman"/>
          <w:color w:val="000000"/>
          <w:lang w:bidi="ar"/>
        </w:rPr>
      </w:pPr>
    </w:p>
    <w:p w14:paraId="2F62E26B">
      <w:pPr>
        <w:widowControl/>
        <w:adjustRightInd/>
        <w:spacing w:line="578" w:lineRule="exact"/>
        <w:jc w:val="left"/>
        <w:textAlignment w:val="center"/>
        <w:rPr>
          <w:rFonts w:ascii="Times New Roman" w:hAnsi="Times New Roman" w:eastAsia="方正小标宋简体" w:cs="Times New Roman"/>
          <w:color w:val="000000"/>
          <w:lang w:bidi="ar"/>
        </w:rPr>
      </w:pPr>
    </w:p>
    <w:p w14:paraId="4A8C71CA">
      <w:pPr>
        <w:widowControl/>
        <w:adjustRightInd/>
        <w:spacing w:line="578" w:lineRule="exact"/>
        <w:jc w:val="left"/>
        <w:textAlignment w:val="center"/>
        <w:rPr>
          <w:rFonts w:ascii="Times New Roman" w:hAnsi="Times New Roman" w:eastAsia="方正小标宋简体" w:cs="Times New Roman"/>
          <w:color w:val="000000"/>
          <w:lang w:bidi="ar"/>
        </w:rPr>
      </w:pPr>
    </w:p>
    <w:p w14:paraId="25DBB386">
      <w:pPr>
        <w:widowControl/>
        <w:adjustRightInd/>
        <w:spacing w:line="578" w:lineRule="exact"/>
        <w:jc w:val="left"/>
        <w:textAlignment w:val="center"/>
        <w:rPr>
          <w:rFonts w:ascii="Times New Roman" w:hAnsi="Times New Roman" w:eastAsia="方正小标宋简体" w:cs="Times New Roman"/>
          <w:color w:val="000000"/>
          <w:lang w:bidi="ar"/>
        </w:rPr>
      </w:pPr>
    </w:p>
    <w:p w14:paraId="69E33120">
      <w:pPr>
        <w:widowControl/>
        <w:adjustRightInd/>
        <w:spacing w:line="578" w:lineRule="exact"/>
        <w:jc w:val="left"/>
        <w:textAlignment w:val="center"/>
        <w:rPr>
          <w:rFonts w:ascii="Times New Roman" w:hAnsi="Times New Roman" w:eastAsia="方正小标宋简体" w:cs="Times New Roman"/>
          <w:color w:val="000000"/>
          <w:lang w:bidi="ar"/>
        </w:rPr>
      </w:pPr>
    </w:p>
    <w:p w14:paraId="51A32AAD">
      <w:pPr>
        <w:widowControl/>
        <w:adjustRightInd/>
        <w:spacing w:line="578" w:lineRule="exact"/>
        <w:jc w:val="left"/>
        <w:textAlignment w:val="center"/>
        <w:rPr>
          <w:rFonts w:ascii="Times New Roman" w:hAnsi="Times New Roman" w:eastAsia="方正小标宋简体" w:cs="Times New Roman"/>
          <w:color w:val="000000"/>
          <w:lang w:bidi="ar"/>
        </w:rPr>
      </w:pPr>
    </w:p>
    <w:p w14:paraId="4CE04725">
      <w:pPr>
        <w:widowControl/>
        <w:adjustRightInd/>
        <w:spacing w:line="578" w:lineRule="exact"/>
        <w:jc w:val="left"/>
        <w:textAlignment w:val="center"/>
        <w:rPr>
          <w:rFonts w:ascii="Times New Roman" w:hAnsi="Times New Roman" w:eastAsia="方正小标宋简体" w:cs="Times New Roman"/>
          <w:color w:val="000000"/>
          <w:lang w:bidi="ar"/>
        </w:rPr>
      </w:pPr>
    </w:p>
    <w:p w14:paraId="743F3695">
      <w:pPr>
        <w:widowControl/>
        <w:adjustRightInd/>
        <w:spacing w:line="578" w:lineRule="exact"/>
        <w:jc w:val="left"/>
        <w:textAlignment w:val="center"/>
        <w:rPr>
          <w:rFonts w:ascii="Times New Roman" w:hAnsi="Times New Roman" w:eastAsia="方正小标宋简体" w:cs="Times New Roman"/>
          <w:color w:val="000000"/>
          <w:lang w:bidi="ar"/>
        </w:rPr>
      </w:pPr>
    </w:p>
    <w:p w14:paraId="4D585E7C">
      <w:pPr>
        <w:widowControl/>
        <w:adjustRightInd/>
        <w:spacing w:line="578" w:lineRule="exact"/>
        <w:jc w:val="left"/>
        <w:textAlignment w:val="center"/>
        <w:rPr>
          <w:rFonts w:ascii="Times New Roman" w:hAnsi="Times New Roman" w:eastAsia="方正小标宋简体" w:cs="Times New Roman"/>
          <w:color w:val="000000"/>
          <w:lang w:bidi="ar"/>
        </w:rPr>
      </w:pPr>
    </w:p>
    <w:p w14:paraId="0BE89BE0">
      <w:pPr>
        <w:widowControl/>
        <w:adjustRightInd/>
        <w:spacing w:line="578" w:lineRule="exact"/>
        <w:jc w:val="left"/>
        <w:textAlignment w:val="center"/>
        <w:rPr>
          <w:rFonts w:ascii="Times New Roman" w:hAnsi="Times New Roman" w:eastAsia="方正小标宋简体" w:cs="Times New Roman"/>
          <w:color w:val="000000"/>
          <w:lang w:bidi="ar"/>
        </w:rPr>
      </w:pPr>
    </w:p>
    <w:p w14:paraId="05AB9FBC">
      <w:pPr>
        <w:widowControl/>
        <w:adjustRightInd/>
        <w:spacing w:line="578" w:lineRule="exact"/>
        <w:jc w:val="left"/>
        <w:textAlignment w:val="center"/>
        <w:rPr>
          <w:rFonts w:ascii="Times New Roman" w:hAnsi="Times New Roman" w:eastAsia="方正小标宋简体" w:cs="Times New Roman"/>
          <w:color w:val="000000"/>
          <w:lang w:bidi="ar"/>
        </w:rPr>
      </w:pPr>
    </w:p>
    <w:tbl>
      <w:tblPr>
        <w:tblStyle w:val="16"/>
        <w:tblW w:w="0" w:type="auto"/>
        <w:tblInd w:w="93" w:type="dxa"/>
        <w:tblLayout w:type="autofit"/>
        <w:tblCellMar>
          <w:top w:w="0" w:type="dxa"/>
          <w:left w:w="108" w:type="dxa"/>
          <w:bottom w:w="0" w:type="dxa"/>
          <w:right w:w="108" w:type="dxa"/>
        </w:tblCellMar>
      </w:tblPr>
      <w:tblGrid>
        <w:gridCol w:w="685"/>
        <w:gridCol w:w="696"/>
        <w:gridCol w:w="749"/>
        <w:gridCol w:w="1226"/>
        <w:gridCol w:w="508"/>
        <w:gridCol w:w="693"/>
        <w:gridCol w:w="508"/>
        <w:gridCol w:w="1402"/>
        <w:gridCol w:w="544"/>
        <w:gridCol w:w="544"/>
        <w:gridCol w:w="874"/>
      </w:tblGrid>
      <w:tr w14:paraId="5136E04C">
        <w:tblPrEx>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181AEE69">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sz w:val="30"/>
                <w:szCs w:val="30"/>
                <w:lang w:bidi="ar"/>
              </w:rPr>
              <w:t>部门预算项目支出绩效自评表（2024年度）</w:t>
            </w:r>
          </w:p>
        </w:tc>
      </w:tr>
      <w:tr w14:paraId="70C6A015">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C15FEC8">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DEB73D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51000024T000011840495-2024年重大传染病防控中央补助资金</w:t>
            </w:r>
          </w:p>
        </w:tc>
      </w:tr>
      <w:tr w14:paraId="7246DEE6">
        <w:tblPrEx>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078380C">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2452C5A">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省政府科学城办事处部门</w:t>
            </w:r>
          </w:p>
        </w:tc>
        <w:tc>
          <w:tcPr>
            <w:tcW w:w="0" w:type="auto"/>
            <w:tcBorders>
              <w:top w:val="nil"/>
              <w:left w:val="nil"/>
              <w:bottom w:val="nil"/>
              <w:right w:val="nil"/>
            </w:tcBorders>
            <w:noWrap w:val="0"/>
            <w:vAlign w:val="center"/>
          </w:tcPr>
          <w:p w14:paraId="6843BCA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C270B5">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四川省科学城医院</w:t>
            </w:r>
          </w:p>
        </w:tc>
      </w:tr>
      <w:tr w14:paraId="0D0CD839">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291C59">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52723C6">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BA4CE0E">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0F95138">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年度目标完成情况</w:t>
            </w:r>
          </w:p>
        </w:tc>
      </w:tr>
      <w:tr w14:paraId="2727F9B9">
        <w:tblPrEx>
          <w:tblCellMar>
            <w:top w:w="0" w:type="dxa"/>
            <w:left w:w="108" w:type="dxa"/>
            <w:bottom w:w="0" w:type="dxa"/>
            <w:right w:w="108" w:type="dxa"/>
          </w:tblCellMar>
        </w:tblPrEx>
        <w:trPr>
          <w:trHeight w:val="24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FC4851">
            <w:pPr>
              <w:widowControl/>
              <w:adjustRightInd/>
              <w:spacing w:line="260" w:lineRule="exact"/>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71A563">
            <w:pPr>
              <w:widowControl/>
              <w:adjustRightInd/>
              <w:spacing w:line="260" w:lineRule="exact"/>
              <w:rPr>
                <w:rFonts w:hint="eastAsia" w:ascii="宋体" w:hAnsi="宋体" w:eastAsia="宋体" w:cs="宋体"/>
                <w:color w:val="000000"/>
                <w:sz w:val="21"/>
                <w:szCs w:val="21"/>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490A76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2024年中央财政经费支持的本地区各项卫生健康培训任务。</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7B548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本年度癌症早诊早治项目消化道癌人群筛查例数、慢性病及其危险因素监测和分析人次、女性两癌筛查、肺结节健康管理例数均达到目标要求；肿瘤和心脑血管专项筛查后干预与健康管理、慢性病及其危险因素监测和分析例数距年度目标尚有一定差距，分别完成80%、90%左右。全年任务基本完成。</w:t>
            </w:r>
          </w:p>
        </w:tc>
      </w:tr>
      <w:tr w14:paraId="0C2F32C2">
        <w:tblPrEx>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0B19DC">
            <w:pPr>
              <w:widowControl/>
              <w:adjustRightInd/>
              <w:spacing w:line="260" w:lineRule="exact"/>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970483">
            <w:pPr>
              <w:widowControl/>
              <w:adjustRightInd/>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76F89C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成立慢病管理小组，整合相关科室力量对相关群体进行随访干预。通过医者健康管理APP实行信息化管理，日常通过健康体检、职业病专项筛查、专病筛查等方式济宁病人群体收集。</w:t>
            </w:r>
          </w:p>
        </w:tc>
      </w:tr>
      <w:tr w14:paraId="01AE14C2">
        <w:tblPrEx>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7F98DD">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D4F4C">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65EB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7F5A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B4B22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BF1F9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5189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23EF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EC123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原因</w:t>
            </w:r>
          </w:p>
        </w:tc>
      </w:tr>
      <w:tr w14:paraId="79DEF7B8">
        <w:tblPrEx>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484479">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4617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DB25AC">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46AC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8AB86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70846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0E3EC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F52E2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8FFE92">
            <w:pPr>
              <w:widowControl/>
              <w:adjustRightInd/>
              <w:spacing w:line="260" w:lineRule="exact"/>
              <w:jc w:val="left"/>
              <w:textAlignment w:val="center"/>
              <w:rPr>
                <w:rFonts w:ascii="宋体" w:hAnsi="宋体" w:eastAsia="宋体" w:cs="宋体"/>
                <w:color w:val="000000"/>
                <w:sz w:val="21"/>
                <w:szCs w:val="21"/>
                <w:lang w:bidi="ar"/>
              </w:rPr>
            </w:pPr>
          </w:p>
        </w:tc>
      </w:tr>
      <w:tr w14:paraId="2FF316F0">
        <w:tblPrEx>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97B6C6">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FB1DF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263E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7886F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F7C48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11.94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B5A17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BBE2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3C26E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3F8E0F">
            <w:pPr>
              <w:widowControl/>
              <w:adjustRightInd/>
              <w:spacing w:line="260" w:lineRule="exact"/>
              <w:jc w:val="left"/>
              <w:textAlignment w:val="center"/>
              <w:rPr>
                <w:rFonts w:ascii="宋体" w:hAnsi="宋体" w:eastAsia="宋体" w:cs="宋体"/>
                <w:color w:val="000000"/>
                <w:sz w:val="21"/>
                <w:szCs w:val="21"/>
                <w:lang w:bidi="ar"/>
              </w:rPr>
            </w:pPr>
          </w:p>
        </w:tc>
      </w:tr>
      <w:tr w14:paraId="1427A02B">
        <w:tblPrEx>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BB4776">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875B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AD2DF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04C6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D572D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11AD1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3B5BC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9ED3D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67B380">
            <w:pPr>
              <w:widowControl/>
              <w:adjustRightInd/>
              <w:spacing w:line="260" w:lineRule="exact"/>
              <w:jc w:val="left"/>
              <w:textAlignment w:val="center"/>
              <w:rPr>
                <w:rFonts w:ascii="宋体" w:hAnsi="宋体" w:eastAsia="宋体" w:cs="宋体"/>
                <w:color w:val="000000"/>
                <w:sz w:val="21"/>
                <w:szCs w:val="21"/>
                <w:lang w:bidi="ar"/>
              </w:rPr>
            </w:pPr>
          </w:p>
        </w:tc>
      </w:tr>
      <w:tr w14:paraId="3D0509D5">
        <w:tblPrEx>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7DA19E">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1E97B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2CE52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1A209B">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F530D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8A39E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2AF25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8DFD8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8BDAB1">
            <w:pPr>
              <w:widowControl/>
              <w:adjustRightInd/>
              <w:spacing w:line="260" w:lineRule="exact"/>
              <w:jc w:val="left"/>
              <w:textAlignment w:val="center"/>
              <w:rPr>
                <w:rFonts w:ascii="宋体" w:hAnsi="宋体" w:eastAsia="宋体" w:cs="宋体"/>
                <w:color w:val="000000"/>
                <w:sz w:val="21"/>
                <w:szCs w:val="21"/>
                <w:lang w:bidi="ar"/>
              </w:rPr>
            </w:pPr>
          </w:p>
        </w:tc>
      </w:tr>
      <w:tr w14:paraId="46570BC3">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14:paraId="70D4789B">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EAF446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其他资金</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22007FC4">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5995C05E">
            <w:pPr>
              <w:widowControl/>
              <w:adjustRightInd/>
              <w:spacing w:line="260" w:lineRule="exact"/>
              <w:jc w:val="left"/>
              <w:textAlignment w:val="center"/>
              <w:rPr>
                <w:rFonts w:ascii="宋体" w:hAnsi="宋体" w:eastAsia="宋体" w:cs="宋体"/>
                <w:color w:val="000000"/>
                <w:sz w:val="21"/>
                <w:szCs w:val="21"/>
                <w:lang w:bidi="ar"/>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14AFEF">
            <w:pPr>
              <w:widowControl/>
              <w:adjustRightInd/>
              <w:spacing w:line="260" w:lineRule="exact"/>
              <w:jc w:val="left"/>
              <w:textAlignment w:val="center"/>
              <w:rPr>
                <w:rFonts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1084D0">
            <w:pPr>
              <w:widowControl/>
              <w:adjustRightInd/>
              <w:spacing w:line="260" w:lineRule="exact"/>
              <w:jc w:val="left"/>
              <w:textAlignment w:val="center"/>
              <w:rPr>
                <w:rFonts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7646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6F8A0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B80618">
            <w:pPr>
              <w:widowControl/>
              <w:adjustRightInd/>
              <w:spacing w:line="260" w:lineRule="exact"/>
              <w:jc w:val="left"/>
              <w:textAlignment w:val="center"/>
              <w:rPr>
                <w:rFonts w:ascii="宋体" w:hAnsi="宋体" w:eastAsia="宋体" w:cs="宋体"/>
                <w:color w:val="000000"/>
                <w:sz w:val="21"/>
                <w:szCs w:val="21"/>
                <w:lang w:bidi="ar"/>
              </w:rPr>
            </w:pPr>
          </w:p>
        </w:tc>
      </w:tr>
      <w:tr w14:paraId="59D59514">
        <w:tblPrEx>
          <w:tblCellMar>
            <w:top w:w="0" w:type="dxa"/>
            <w:left w:w="108" w:type="dxa"/>
            <w:bottom w:w="0" w:type="dxa"/>
            <w:right w:w="108" w:type="dxa"/>
          </w:tblCellMar>
        </w:tblPrEx>
        <w:trPr>
          <w:trHeight w:val="452"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4A0D7EB8">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绩效指标（90分）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6BF3D9">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一级指标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3A5E7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二级指标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3204C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三级指标</w:t>
            </w:r>
          </w:p>
        </w:tc>
        <w:tc>
          <w:tcPr>
            <w:tcW w:w="0" w:type="auto"/>
            <w:tcBorders>
              <w:top w:val="single" w:color="000000" w:sz="4" w:space="0"/>
              <w:left w:val="single" w:color="auto" w:sz="4" w:space="0"/>
              <w:bottom w:val="single" w:color="auto" w:sz="4" w:space="0"/>
              <w:right w:val="single" w:color="000000" w:sz="4" w:space="0"/>
            </w:tcBorders>
            <w:noWrap w:val="0"/>
            <w:vAlign w:val="center"/>
          </w:tcPr>
          <w:p w14:paraId="6003703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指标性质</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68B76A3">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指标值</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DEBB1A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度量单位</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77072FA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完成值</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49AC601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权重</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3C71A8F6">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得分</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175837E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未完成原因分析</w:t>
            </w:r>
          </w:p>
        </w:tc>
      </w:tr>
      <w:tr w14:paraId="37BF181A">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670F007">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AF777C2">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产出指标</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7968A1E3">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数量指标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DDD58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癌症早诊早治项目消化道癌人群筛查例数（大便隐血筛查）</w:t>
            </w:r>
          </w:p>
        </w:tc>
        <w:tc>
          <w:tcPr>
            <w:tcW w:w="0" w:type="auto"/>
            <w:tcBorders>
              <w:top w:val="single" w:color="auto" w:sz="4" w:space="0"/>
              <w:left w:val="single" w:color="auto" w:sz="4" w:space="0"/>
              <w:bottom w:val="single" w:color="auto" w:sz="4" w:space="0"/>
              <w:right w:val="single" w:color="000000" w:sz="4" w:space="0"/>
            </w:tcBorders>
            <w:noWrap w:val="0"/>
            <w:vAlign w:val="center"/>
          </w:tcPr>
          <w:p w14:paraId="6B4F28DD">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490C52EC">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1000</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5016E32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61DDB3A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大便隐血1448例</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3503AEB6">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auto" w:sz="4" w:space="0"/>
              <w:left w:val="single" w:color="000000" w:sz="4" w:space="0"/>
              <w:bottom w:val="single" w:color="auto" w:sz="4" w:space="0"/>
              <w:right w:val="single" w:color="000000" w:sz="4" w:space="0"/>
            </w:tcBorders>
            <w:noWrap w:val="0"/>
            <w:vAlign w:val="center"/>
          </w:tcPr>
          <w:p w14:paraId="2E3AA41B">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auto" w:sz="4" w:space="0"/>
              <w:left w:val="single" w:color="000000" w:sz="4" w:space="0"/>
              <w:bottom w:val="single" w:color="auto" w:sz="4" w:space="0"/>
              <w:right w:val="single" w:color="auto" w:sz="4" w:space="0"/>
            </w:tcBorders>
            <w:noWrap w:val="0"/>
            <w:vAlign w:val="center"/>
          </w:tcPr>
          <w:p w14:paraId="2F1BB65C">
            <w:pPr>
              <w:widowControl/>
              <w:adjustRightInd/>
              <w:spacing w:line="260" w:lineRule="exact"/>
              <w:jc w:val="left"/>
              <w:textAlignment w:val="center"/>
              <w:rPr>
                <w:rFonts w:ascii="宋体" w:hAnsi="宋体" w:eastAsia="宋体" w:cs="宋体"/>
                <w:color w:val="000000"/>
                <w:sz w:val="21"/>
                <w:szCs w:val="21"/>
                <w:lang w:bidi="ar"/>
              </w:rPr>
            </w:pPr>
          </w:p>
        </w:tc>
      </w:tr>
      <w:tr w14:paraId="60277DD3">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5E03676">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32E4F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1A2855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7EA254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肿瘤和心脑血管专项筛查后干预与健康管理</w:t>
            </w:r>
          </w:p>
        </w:tc>
        <w:tc>
          <w:tcPr>
            <w:tcW w:w="0" w:type="auto"/>
            <w:tcBorders>
              <w:top w:val="single" w:color="auto" w:sz="4" w:space="0"/>
              <w:left w:val="single" w:color="auto" w:sz="4" w:space="0"/>
              <w:bottom w:val="single" w:color="000000" w:sz="4" w:space="0"/>
              <w:right w:val="single" w:color="000000" w:sz="4" w:space="0"/>
            </w:tcBorders>
            <w:noWrap w:val="0"/>
            <w:vAlign w:val="center"/>
          </w:tcPr>
          <w:p w14:paraId="3F22DDB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56246889">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099816B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3279220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782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7486321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393AC95F">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5E445AD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筛查后部分患者至其他医院进行后续干预。</w:t>
            </w:r>
          </w:p>
        </w:tc>
      </w:tr>
      <w:tr w14:paraId="2901FC4B">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5722A9">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8C3C5E">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5869E4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2173F0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慢性病及其危险因素监测和分析</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7C71E9D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C9EBE">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BB9AE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EF046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1816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718EE">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B915A">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B83E1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慢病管理在门诊方面有所欠缺，主要病人群体仍集中于住院。</w:t>
            </w:r>
          </w:p>
        </w:tc>
      </w:tr>
      <w:tr w14:paraId="176B3C28">
        <w:tblPrEx>
          <w:tblCellMar>
            <w:top w:w="0" w:type="dxa"/>
            <w:left w:w="108" w:type="dxa"/>
            <w:bottom w:w="0" w:type="dxa"/>
            <w:right w:w="108" w:type="dxa"/>
          </w:tblCellMar>
        </w:tblPrEx>
        <w:trPr>
          <w:trHeight w:val="184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30E658A">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9B4341">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8A7027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05C408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开展女性“乳腺癌、宫颈癌</w:t>
            </w:r>
            <w:r>
              <w:rPr>
                <w:rFonts w:ascii="宋体" w:hAnsi="宋体" w:eastAsia="宋体" w:cs="宋体"/>
                <w:color w:val="000000"/>
                <w:sz w:val="21"/>
                <w:szCs w:val="21"/>
                <w:lang w:bidi="ar"/>
              </w:rPr>
              <w:t>”两癌筛查</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BB8050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C0F0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A348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76E9A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乳腺癌筛查，乳腺彩超7715例、钼靶1464例，宫颈癌筛查液基5384例，HPV检测1068例，子宫附件彩超4103例。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0983A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5A67E3">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EE2BA">
            <w:pPr>
              <w:widowControl/>
              <w:adjustRightInd/>
              <w:spacing w:line="260" w:lineRule="exact"/>
              <w:jc w:val="left"/>
              <w:textAlignment w:val="center"/>
              <w:rPr>
                <w:rFonts w:ascii="宋体" w:hAnsi="宋体" w:eastAsia="宋体" w:cs="宋体"/>
                <w:color w:val="000000"/>
                <w:sz w:val="21"/>
                <w:szCs w:val="21"/>
                <w:lang w:bidi="ar"/>
              </w:rPr>
            </w:pPr>
          </w:p>
        </w:tc>
      </w:tr>
      <w:tr w14:paraId="09C2E78F">
        <w:tblPrEx>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A118581">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734488F">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294CBD">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2A3729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开展肺结节健康管</w:t>
            </w:r>
            <w:r>
              <w:rPr>
                <w:rFonts w:ascii="宋体" w:hAnsi="宋体" w:eastAsia="宋体" w:cs="宋体"/>
                <w:color w:val="000000"/>
                <w:sz w:val="21"/>
                <w:szCs w:val="21"/>
                <w:lang w:bidi="ar"/>
              </w:rPr>
              <w:t>理</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1DA70B3">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954F1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DA443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F587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394含肺结节MDT门诊253人次，住院肺肿瘤+肺结节患者141例次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ADE86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62E41">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CB3363">
            <w:pPr>
              <w:widowControl/>
              <w:adjustRightInd/>
              <w:spacing w:line="260" w:lineRule="exact"/>
              <w:jc w:val="left"/>
              <w:textAlignment w:val="center"/>
              <w:rPr>
                <w:rFonts w:ascii="宋体" w:hAnsi="宋体" w:eastAsia="宋体" w:cs="宋体"/>
                <w:color w:val="000000"/>
                <w:sz w:val="21"/>
                <w:szCs w:val="21"/>
                <w:lang w:bidi="ar"/>
              </w:rPr>
            </w:pPr>
          </w:p>
        </w:tc>
      </w:tr>
      <w:tr w14:paraId="354F34DE">
        <w:tblPrEx>
          <w:tblCellMar>
            <w:top w:w="0" w:type="dxa"/>
            <w:left w:w="108" w:type="dxa"/>
            <w:bottom w:w="0" w:type="dxa"/>
            <w:right w:w="108" w:type="dxa"/>
          </w:tblCellMar>
        </w:tblPrEx>
        <w:trPr>
          <w:trHeight w:val="480" w:hRule="atLeast"/>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14:paraId="4D5A2677">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FDC5CA2">
            <w:pPr>
              <w:widowControl/>
              <w:adjustRightInd/>
              <w:spacing w:line="260" w:lineRule="exact"/>
              <w:jc w:val="center"/>
              <w:rPr>
                <w:rFonts w:hint="eastAsia" w:ascii="宋体" w:hAnsi="宋体" w:eastAsia="宋体" w:cs="宋体"/>
                <w:color w:val="000000"/>
                <w:sz w:val="21"/>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C90CAFA">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质量指标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1B5D14">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消化道癌人群筛查例数（大便隐血筛查）完成率</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1F67EA6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7DAB5D">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13024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7B34F9">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70EE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023ED">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9E4215">
            <w:pPr>
              <w:widowControl/>
              <w:adjustRightInd/>
              <w:spacing w:line="260" w:lineRule="exact"/>
              <w:jc w:val="left"/>
              <w:textAlignment w:val="center"/>
              <w:rPr>
                <w:rFonts w:ascii="宋体" w:hAnsi="宋体" w:eastAsia="宋体" w:cs="宋体"/>
                <w:color w:val="000000"/>
                <w:sz w:val="21"/>
                <w:szCs w:val="21"/>
                <w:lang w:bidi="ar"/>
              </w:rPr>
            </w:pPr>
          </w:p>
        </w:tc>
      </w:tr>
      <w:tr w14:paraId="0038F5AD">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51B4763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FF71CB5">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6DCE6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9AC17B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肿瘤和心脑血管专项筛查后干预与健康管理</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89181DA">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A5FF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52FC2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F8F92">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78.20%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06DBC5">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8D7D98">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E0371F">
            <w:pPr>
              <w:widowControl/>
              <w:adjustRightInd/>
              <w:spacing w:line="22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筛查后部分患者至其他医院进行后续干预。</w:t>
            </w:r>
          </w:p>
        </w:tc>
      </w:tr>
      <w:tr w14:paraId="5A1A1162">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05F49500">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FC9E4DF">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07665C">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4E04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慢性病及其危险因素监测和分析</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727D8CE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D38395">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AF49A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E8842C">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90.80%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3FEAE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CD6AF">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A77876">
            <w:pPr>
              <w:widowControl/>
              <w:adjustRightInd/>
              <w:spacing w:line="22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慢病管理在门诊方面有所欠缺，主要病人群体仍集中于住院。</w:t>
            </w:r>
          </w:p>
        </w:tc>
      </w:tr>
      <w:tr w14:paraId="70AAFC57">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5369466B">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auto" w:sz="4" w:space="0"/>
              <w:right w:val="single" w:color="000000" w:sz="4" w:space="0"/>
            </w:tcBorders>
            <w:noWrap w:val="0"/>
            <w:vAlign w:val="center"/>
          </w:tcPr>
          <w:p w14:paraId="74461454">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14:paraId="2DA21433">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74136F1F">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开展女性“乳腺癌、宫颈癌</w:t>
            </w:r>
            <w:r>
              <w:rPr>
                <w:rFonts w:ascii="宋体" w:hAnsi="宋体" w:eastAsia="宋体" w:cs="宋体"/>
                <w:color w:val="000000"/>
                <w:sz w:val="21"/>
                <w:szCs w:val="21"/>
                <w:lang w:bidi="ar"/>
              </w:rPr>
              <w:t>”两癌筛查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FC14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20992">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4AF708">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92FA7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228D3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692624">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FFB67B">
            <w:pPr>
              <w:widowControl/>
              <w:adjustRightInd/>
              <w:spacing w:line="260" w:lineRule="exact"/>
              <w:jc w:val="left"/>
              <w:textAlignment w:val="center"/>
              <w:rPr>
                <w:rFonts w:ascii="宋体" w:hAnsi="宋体" w:eastAsia="宋体" w:cs="宋体"/>
                <w:color w:val="000000"/>
                <w:sz w:val="21"/>
                <w:szCs w:val="21"/>
                <w:lang w:bidi="ar"/>
              </w:rPr>
            </w:pPr>
          </w:p>
        </w:tc>
      </w:tr>
      <w:tr w14:paraId="5F2BA7F6">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auto" w:sz="4" w:space="0"/>
              <w:bottom w:val="single" w:color="000000" w:sz="4" w:space="0"/>
              <w:right w:val="single" w:color="auto" w:sz="4" w:space="0"/>
            </w:tcBorders>
            <w:noWrap w:val="0"/>
            <w:vAlign w:val="center"/>
          </w:tcPr>
          <w:p w14:paraId="17529C9A">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left w:val="single" w:color="auto" w:sz="4" w:space="0"/>
              <w:bottom w:val="single" w:color="000000" w:sz="4" w:space="0"/>
              <w:right w:val="single" w:color="000000" w:sz="4" w:space="0"/>
            </w:tcBorders>
            <w:noWrap w:val="0"/>
            <w:vAlign w:val="center"/>
          </w:tcPr>
          <w:p w14:paraId="18CB2C0C">
            <w:pPr>
              <w:widowControl/>
              <w:adjustRightInd/>
              <w:spacing w:line="260" w:lineRule="exact"/>
              <w:jc w:val="center"/>
              <w:rPr>
                <w:rFonts w:hint="eastAsia" w:ascii="宋体" w:hAnsi="宋体" w:eastAsia="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A4FE94">
            <w:pPr>
              <w:widowControl/>
              <w:adjustRightInd/>
              <w:spacing w:line="260" w:lineRule="exact"/>
              <w:jc w:val="left"/>
              <w:textAlignment w:val="center"/>
              <w:rPr>
                <w:rFonts w:hint="eastAsia" w:ascii="宋体" w:hAnsi="宋体" w:eastAsia="宋体" w:cs="宋体"/>
                <w:color w:val="00000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42552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开展肺结节健康管</w:t>
            </w:r>
            <w:r>
              <w:rPr>
                <w:rFonts w:ascii="宋体" w:hAnsi="宋体" w:eastAsia="宋体" w:cs="宋体"/>
                <w:color w:val="000000"/>
                <w:sz w:val="21"/>
                <w:szCs w:val="21"/>
                <w:lang w:bidi="ar"/>
              </w:rPr>
              <w:t>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D30D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523FC">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543589">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DBCF27">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F7E98">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343857">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DD2B7">
            <w:pPr>
              <w:widowControl/>
              <w:adjustRightInd/>
              <w:spacing w:line="260" w:lineRule="exact"/>
              <w:jc w:val="left"/>
              <w:textAlignment w:val="center"/>
              <w:rPr>
                <w:rFonts w:ascii="宋体" w:hAnsi="宋体" w:eastAsia="宋体" w:cs="宋体"/>
                <w:color w:val="000000"/>
                <w:sz w:val="21"/>
                <w:szCs w:val="21"/>
                <w:lang w:bidi="ar"/>
              </w:rPr>
            </w:pPr>
          </w:p>
        </w:tc>
      </w:tr>
      <w:tr w14:paraId="30EF8285">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auto" w:sz="4" w:space="0"/>
              <w:bottom w:val="single" w:color="000000" w:sz="4" w:space="0"/>
              <w:right w:val="single" w:color="000000" w:sz="4" w:space="0"/>
            </w:tcBorders>
            <w:noWrap w:val="0"/>
            <w:vAlign w:val="center"/>
          </w:tcPr>
          <w:p w14:paraId="7F74543D">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9434ED">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B93A09">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可持续影指标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C20D2D">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健康管理信息化水平和服务能力，开发健康管理APP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05992C">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中长期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BA37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中长期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2E4ABF">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30954">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ECD751">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8B5DE">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84825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医者健康管理APP</w:t>
            </w:r>
          </w:p>
        </w:tc>
      </w:tr>
      <w:tr w14:paraId="6492184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A5B8E">
            <w:pPr>
              <w:widowControl/>
              <w:adjustRightInd/>
              <w:spacing w:line="260" w:lineRule="exact"/>
              <w:jc w:val="center"/>
              <w:rPr>
                <w:rFonts w:hint="eastAsia"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1F65DA">
            <w:pPr>
              <w:widowControl/>
              <w:adjustRightInd/>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CF3FC7">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BC34D4">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科学城辖区开展《辖区居民健康素养调查问卷》考核合格率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D3D10">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785C9">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E6A8E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C911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C09FCB">
            <w:pPr>
              <w:widowControl/>
              <w:adjustRightInd/>
              <w:spacing w:line="26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2057B">
            <w:pPr>
              <w:widowControl/>
              <w:adjustRightInd/>
              <w:spacing w:line="2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BDA4F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完成50份，均合格</w:t>
            </w:r>
          </w:p>
        </w:tc>
      </w:tr>
      <w:tr w14:paraId="563201A2">
        <w:tblPrEx>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580F7CA">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7F9456">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E66AC8">
            <w:pPr>
              <w:widowControl/>
              <w:adjustRightInd/>
              <w:spacing w:line="260" w:lineRule="exact"/>
              <w:jc w:val="right"/>
              <w:textAlignment w:val="center"/>
              <w:rPr>
                <w:rFonts w:ascii="宋体" w:hAnsi="宋体" w:eastAsia="宋体" w:cs="宋体"/>
                <w:color w:val="000000"/>
                <w:sz w:val="21"/>
                <w:szCs w:val="21"/>
              </w:rPr>
            </w:pPr>
            <w:r>
              <w:rPr>
                <w:rFonts w:ascii="宋体" w:hAnsi="宋体" w:eastAsia="宋体" w:cs="宋体"/>
                <w:color w:val="000000"/>
                <w:sz w:val="21"/>
                <w:szCs w:val="21"/>
                <w:lang w:bidi="ar"/>
              </w:rPr>
              <w:t>97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675D0">
            <w:pPr>
              <w:widowControl/>
              <w:adjustRightInd/>
              <w:spacing w:line="260" w:lineRule="exact"/>
              <w:rPr>
                <w:rFonts w:hint="eastAsia" w:ascii="宋体" w:hAnsi="宋体" w:eastAsia="宋体" w:cs="宋体"/>
                <w:color w:val="000000"/>
                <w:sz w:val="21"/>
                <w:szCs w:val="21"/>
              </w:rPr>
            </w:pPr>
          </w:p>
        </w:tc>
      </w:tr>
      <w:tr w14:paraId="57D33B35">
        <w:tblPrEx>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68450D0">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FF052D1">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整体筛查、随访、干预人数基本达到年度目标，建立了长期随访干预机制，有专门的慢病管理小组跟进。辖区内慢病管理初见成效。</w:t>
            </w:r>
          </w:p>
        </w:tc>
      </w:tr>
      <w:tr w14:paraId="39A42F3B">
        <w:tblPrEx>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8E517">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55E1A2D">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1、患者粘性不足，部分患者随访流失；2、慢病管理小组护理组为主，医疗参与度不足。</w:t>
            </w:r>
          </w:p>
        </w:tc>
      </w:tr>
      <w:tr w14:paraId="49BDECC5">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1247D5">
            <w:pPr>
              <w:widowControl/>
              <w:adjustRightInd/>
              <w:spacing w:line="260" w:lineRule="exact"/>
              <w:jc w:val="center"/>
              <w:textAlignment w:val="center"/>
              <w:rPr>
                <w:rFonts w:ascii="宋体" w:hAnsi="宋体" w:eastAsia="宋体" w:cs="宋体"/>
                <w:color w:val="000000"/>
                <w:sz w:val="21"/>
                <w:szCs w:val="21"/>
              </w:rPr>
            </w:pPr>
            <w:r>
              <w:rPr>
                <w:rFonts w:ascii="宋体" w:hAnsi="宋体" w:eastAsia="宋体" w:cs="宋体"/>
                <w:color w:val="000000"/>
                <w:sz w:val="21"/>
                <w:szCs w:val="21"/>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63408DE">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1、加大随访力度，调整随访方式，提高长期随访率，提高干预率。2、优化慢病管理小组活动模式，提升医生参与度，加强科间协作，加强医护协作。3、充分发挥辖区内社区卫生中心作用，延长服务半径，蒋慢病管理由院内延伸至社区、家庭。</w:t>
            </w:r>
          </w:p>
        </w:tc>
      </w:tr>
      <w:tr w14:paraId="37A8CE2C">
        <w:tblPrEx>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9355BF5">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项目负责人：</w:t>
            </w:r>
            <w:r>
              <w:rPr>
                <w:rFonts w:hint="eastAsia" w:ascii="宋体" w:hAnsi="宋体" w:eastAsia="宋体" w:cs="宋体"/>
                <w:color w:val="000000"/>
                <w:sz w:val="21"/>
                <w:szCs w:val="21"/>
                <w:lang w:bidi="ar"/>
              </w:rPr>
              <w:t>邱立志</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3F0F00">
            <w:pPr>
              <w:widowControl/>
              <w:adjustRightInd/>
              <w:spacing w:line="260" w:lineRule="exact"/>
              <w:jc w:val="left"/>
              <w:textAlignment w:val="center"/>
              <w:rPr>
                <w:rFonts w:ascii="宋体" w:hAnsi="宋体" w:eastAsia="宋体" w:cs="宋体"/>
                <w:color w:val="000000"/>
                <w:sz w:val="21"/>
                <w:szCs w:val="21"/>
                <w:lang w:bidi="ar"/>
              </w:rPr>
            </w:pPr>
            <w:r>
              <w:rPr>
                <w:rFonts w:ascii="宋体" w:hAnsi="宋体" w:eastAsia="宋体" w:cs="宋体"/>
                <w:color w:val="000000"/>
                <w:sz w:val="21"/>
                <w:szCs w:val="21"/>
                <w:lang w:bidi="ar"/>
              </w:rPr>
              <w:t>财务负责人：</w:t>
            </w:r>
            <w:r>
              <w:rPr>
                <w:rFonts w:hint="eastAsia" w:ascii="宋体" w:hAnsi="宋体" w:eastAsia="宋体" w:cs="宋体"/>
                <w:color w:val="000000"/>
                <w:sz w:val="21"/>
                <w:szCs w:val="21"/>
                <w:lang w:bidi="ar"/>
              </w:rPr>
              <w:t>甘云燕</w:t>
            </w:r>
          </w:p>
        </w:tc>
      </w:tr>
    </w:tbl>
    <w:p w14:paraId="3846364B">
      <w:pPr>
        <w:widowControl/>
        <w:adjustRightInd/>
        <w:spacing w:line="240" w:lineRule="auto"/>
        <w:jc w:val="left"/>
        <w:textAlignment w:val="center"/>
        <w:rPr>
          <w:rFonts w:ascii="Times New Roman" w:hAnsi="Times New Roman" w:eastAsia="方正小标宋简体" w:cs="Times New Roman"/>
          <w:color w:val="000000"/>
          <w:lang w:bidi="ar"/>
        </w:rPr>
      </w:pPr>
    </w:p>
    <w:p w14:paraId="7B94C56A">
      <w:pPr>
        <w:widowControl/>
        <w:adjustRightInd/>
        <w:spacing w:line="240" w:lineRule="auto"/>
        <w:jc w:val="left"/>
        <w:textAlignment w:val="center"/>
        <w:rPr>
          <w:rFonts w:ascii="Times New Roman" w:hAnsi="Times New Roman" w:eastAsia="方正小标宋简体" w:cs="Times New Roman"/>
          <w:color w:val="000000"/>
          <w:lang w:bidi="ar"/>
        </w:rPr>
      </w:pPr>
    </w:p>
    <w:p w14:paraId="2B298F2C">
      <w:pPr>
        <w:widowControl/>
        <w:adjustRightInd/>
        <w:spacing w:line="240" w:lineRule="auto"/>
        <w:jc w:val="left"/>
        <w:textAlignment w:val="center"/>
        <w:rPr>
          <w:rFonts w:ascii="Times New Roman" w:hAnsi="Times New Roman" w:eastAsia="方正小标宋简体" w:cs="Times New Roman"/>
          <w:color w:val="000000"/>
          <w:lang w:bidi="ar"/>
        </w:rPr>
      </w:pPr>
    </w:p>
    <w:p w14:paraId="7653E72C">
      <w:pPr>
        <w:widowControl/>
        <w:adjustRightInd/>
        <w:spacing w:line="240" w:lineRule="auto"/>
        <w:jc w:val="left"/>
        <w:textAlignment w:val="center"/>
        <w:rPr>
          <w:rFonts w:ascii="Times New Roman" w:hAnsi="Times New Roman" w:eastAsia="方正小标宋简体" w:cs="Times New Roman"/>
          <w:color w:val="000000"/>
          <w:lang w:bidi="ar"/>
        </w:rPr>
      </w:pPr>
    </w:p>
    <w:p w14:paraId="55AFF5D5">
      <w:pPr>
        <w:widowControl/>
        <w:adjustRightInd/>
        <w:spacing w:line="240" w:lineRule="auto"/>
        <w:jc w:val="left"/>
        <w:textAlignment w:val="center"/>
        <w:rPr>
          <w:rFonts w:ascii="Times New Roman" w:hAnsi="Times New Roman" w:eastAsia="方正小标宋简体" w:cs="Times New Roman"/>
          <w:color w:val="000000"/>
          <w:lang w:bidi="ar"/>
        </w:rPr>
      </w:pPr>
    </w:p>
    <w:p w14:paraId="50CAE11A">
      <w:pPr>
        <w:pStyle w:val="2"/>
        <w:rPr>
          <w:rFonts w:ascii="Times New Roman" w:hAnsi="Times New Roman" w:eastAsia="方正小标宋简体" w:cs="Times New Roman"/>
          <w:color w:val="000000"/>
          <w:lang w:bidi="ar"/>
        </w:rPr>
      </w:pPr>
    </w:p>
    <w:p w14:paraId="5C27EEDE">
      <w:pPr>
        <w:pStyle w:val="2"/>
        <w:rPr>
          <w:rFonts w:ascii="Times New Roman" w:hAnsi="Times New Roman" w:eastAsia="方正小标宋简体" w:cs="Times New Roman"/>
          <w:color w:val="000000"/>
          <w:lang w:bidi="ar"/>
        </w:rPr>
      </w:pPr>
    </w:p>
    <w:p w14:paraId="09744BC7">
      <w:pPr>
        <w:pStyle w:val="2"/>
        <w:rPr>
          <w:rFonts w:ascii="Times New Roman" w:hAnsi="Times New Roman" w:eastAsia="方正小标宋简体" w:cs="Times New Roman"/>
          <w:color w:val="000000"/>
          <w:lang w:bidi="ar"/>
        </w:rPr>
      </w:pPr>
    </w:p>
    <w:p w14:paraId="56F09C43">
      <w:pPr>
        <w:pStyle w:val="2"/>
        <w:rPr>
          <w:rFonts w:ascii="Times New Roman" w:hAnsi="Times New Roman" w:eastAsia="方正小标宋简体" w:cs="Times New Roman"/>
          <w:color w:val="000000"/>
          <w:lang w:bidi="ar"/>
        </w:rPr>
      </w:pPr>
    </w:p>
    <w:p w14:paraId="535B1866">
      <w:pPr>
        <w:pStyle w:val="2"/>
        <w:rPr>
          <w:rFonts w:ascii="Times New Roman" w:hAnsi="Times New Roman" w:eastAsia="方正小标宋简体" w:cs="Times New Roman"/>
          <w:color w:val="000000"/>
          <w:lang w:bidi="ar"/>
        </w:rPr>
      </w:pPr>
    </w:p>
    <w:p w14:paraId="0CC0955F">
      <w:pPr>
        <w:pStyle w:val="2"/>
        <w:rPr>
          <w:rFonts w:ascii="Times New Roman" w:hAnsi="Times New Roman" w:eastAsia="方正小标宋简体" w:cs="Times New Roman"/>
          <w:color w:val="000000"/>
          <w:lang w:bidi="ar"/>
        </w:rPr>
      </w:pPr>
    </w:p>
    <w:p w14:paraId="6C7F52EB">
      <w:pPr>
        <w:pStyle w:val="2"/>
        <w:rPr>
          <w:rFonts w:ascii="Times New Roman" w:hAnsi="Times New Roman" w:eastAsia="方正小标宋简体" w:cs="Times New Roman"/>
          <w:color w:val="000000"/>
          <w:lang w:bidi="ar"/>
        </w:rPr>
      </w:pPr>
    </w:p>
    <w:p w14:paraId="23403BFF">
      <w:pPr>
        <w:widowControl/>
        <w:adjustRightInd/>
        <w:spacing w:line="240" w:lineRule="auto"/>
        <w:jc w:val="left"/>
        <w:textAlignment w:val="center"/>
        <w:rPr>
          <w:rFonts w:ascii="Times New Roman" w:hAnsi="Times New Roman" w:eastAsia="方正小标宋简体" w:cs="Times New Roman"/>
          <w:color w:val="000000"/>
          <w:lang w:bidi="ar"/>
        </w:rPr>
      </w:pPr>
    </w:p>
    <w:p w14:paraId="60343F9F">
      <w:pPr>
        <w:widowControl/>
        <w:adjustRightInd/>
        <w:spacing w:line="240" w:lineRule="auto"/>
        <w:jc w:val="left"/>
        <w:textAlignment w:val="center"/>
        <w:rPr>
          <w:rFonts w:ascii="Times New Roman" w:hAnsi="Times New Roman" w:eastAsia="方正小标宋简体" w:cs="Times New Roman"/>
          <w:color w:val="000000"/>
          <w:lang w:bidi="ar"/>
        </w:rPr>
      </w:pPr>
    </w:p>
    <w:p w14:paraId="05BEAEF3">
      <w:pPr>
        <w:widowControl/>
        <w:adjustRightInd/>
        <w:spacing w:line="240" w:lineRule="auto"/>
        <w:jc w:val="left"/>
        <w:textAlignment w:val="center"/>
        <w:rPr>
          <w:rFonts w:ascii="Times New Roman" w:hAnsi="Times New Roman" w:eastAsia="方正小标宋简体" w:cs="Times New Roman"/>
          <w:color w:val="000000"/>
          <w:lang w:bidi="ar"/>
        </w:rPr>
      </w:pPr>
    </w:p>
    <w:tbl>
      <w:tblPr>
        <w:tblStyle w:val="16"/>
        <w:tblW w:w="0" w:type="auto"/>
        <w:tblInd w:w="93" w:type="dxa"/>
        <w:tblLayout w:type="autofit"/>
        <w:tblCellMar>
          <w:top w:w="0" w:type="dxa"/>
          <w:left w:w="108" w:type="dxa"/>
          <w:bottom w:w="0" w:type="dxa"/>
          <w:right w:w="108" w:type="dxa"/>
        </w:tblCellMar>
      </w:tblPr>
      <w:tblGrid>
        <w:gridCol w:w="679"/>
        <w:gridCol w:w="688"/>
        <w:gridCol w:w="752"/>
        <w:gridCol w:w="1218"/>
        <w:gridCol w:w="498"/>
        <w:gridCol w:w="600"/>
        <w:gridCol w:w="514"/>
        <w:gridCol w:w="981"/>
        <w:gridCol w:w="535"/>
        <w:gridCol w:w="540"/>
        <w:gridCol w:w="1424"/>
      </w:tblGrid>
      <w:tr w14:paraId="28322031">
        <w:tblPrEx>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3B690A47">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sz w:val="30"/>
                <w:szCs w:val="30"/>
                <w:lang w:bidi="ar"/>
              </w:rPr>
              <w:t>部门预算项目支出绩效自评表（2024年度）</w:t>
            </w:r>
          </w:p>
        </w:tc>
      </w:tr>
      <w:tr w14:paraId="6C3B4321">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C9BF1D">
            <w:pPr>
              <w:widowControl/>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A1AB78D">
            <w:pPr>
              <w:widowControl/>
              <w:spacing w:line="260" w:lineRule="exact"/>
              <w:jc w:val="left"/>
              <w:textAlignment w:val="center"/>
              <w:rPr>
                <w:rFonts w:ascii="宋体" w:hAnsi="宋体" w:eastAsia="宋体" w:cs="宋体"/>
                <w:color w:val="000000"/>
                <w:sz w:val="21"/>
                <w:szCs w:val="21"/>
              </w:rPr>
            </w:pPr>
            <w:r>
              <w:rPr>
                <w:rFonts w:ascii="宋体" w:hAnsi="宋体" w:eastAsia="宋体" w:cs="宋体"/>
                <w:color w:val="000000"/>
                <w:sz w:val="21"/>
                <w:szCs w:val="21"/>
                <w:lang w:bidi="ar"/>
              </w:rPr>
              <w:t>51000024T000011840557-2024年医疗服务与保障能力提升</w:t>
            </w:r>
          </w:p>
        </w:tc>
      </w:tr>
      <w:tr w14:paraId="217381B2">
        <w:tblPrEx>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49CD96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400C66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省政府科学城办事处部门</w:t>
            </w:r>
          </w:p>
        </w:tc>
        <w:tc>
          <w:tcPr>
            <w:tcW w:w="0" w:type="auto"/>
            <w:tcBorders>
              <w:top w:val="nil"/>
              <w:left w:val="nil"/>
              <w:bottom w:val="nil"/>
              <w:right w:val="nil"/>
            </w:tcBorders>
            <w:noWrap w:val="0"/>
            <w:vAlign w:val="center"/>
          </w:tcPr>
          <w:p w14:paraId="5B4783B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265826">
            <w:pPr>
              <w:widowControl/>
              <w:adjustRightInd/>
              <w:spacing w:line="260" w:lineRule="exact"/>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四川省科学城医院</w:t>
            </w:r>
          </w:p>
        </w:tc>
      </w:tr>
      <w:tr w14:paraId="13090A66">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FCA0E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206AD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B2FC43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6197DD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年度目标完成情况</w:t>
            </w:r>
          </w:p>
        </w:tc>
      </w:tr>
      <w:tr w14:paraId="6FC03715">
        <w:tblPrEx>
          <w:tblCellMar>
            <w:top w:w="0" w:type="dxa"/>
            <w:left w:w="108" w:type="dxa"/>
            <w:bottom w:w="0" w:type="dxa"/>
            <w:right w:w="108" w:type="dxa"/>
          </w:tblCellMar>
        </w:tblPrEx>
        <w:trPr>
          <w:trHeight w:val="2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DCB655">
            <w:pPr>
              <w:widowControl/>
              <w:adjustRightInd/>
              <w:spacing w:line="260" w:lineRule="exact"/>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747690">
            <w:pPr>
              <w:widowControl/>
              <w:adjustRightInd/>
              <w:spacing w:line="260" w:lineRule="exact"/>
              <w:rPr>
                <w:rFonts w:hint="eastAsia" w:ascii="宋体" w:hAnsi="宋体" w:eastAsia="宋体" w:cs="宋体"/>
                <w:sz w:val="21"/>
                <w:szCs w:val="21"/>
                <w:lang w:bidi="ar"/>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526B46E">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2024年中央财政经费支持的本地区各项卫生健康培训任务。</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EADD1DF">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24年按上级部门相关要求及对口单位实际需求，共安排17人完成支援任务。支援期间严格遵守相关政策要求及受援单位规章制度，全身心投入帮扶工作中，全满完成支援任务，帮助受援单位提高了医疗技术水平，得到了患者群体及受援医师的一致好评。</w:t>
            </w:r>
          </w:p>
        </w:tc>
      </w:tr>
      <w:tr w14:paraId="67DE5F64">
        <w:tblPrEx>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4B3D0A">
            <w:pPr>
              <w:widowControl/>
              <w:adjustRightInd/>
              <w:spacing w:line="260" w:lineRule="exact"/>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4D7627">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697F5E2">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24年按上级部门相关要求及对口单位实际需求，共安排17人（含昭化4人）完成支援任务。此外累计派108人次专家赴陕西富平、江西吉水开展医疗帮扶，推广适宜技术，助力基层卫生院打造疼痛科。对口支援期间医院严格执行相关政策要求，强调工作纪律，狠抓帮扶质量。有所对口支援人员均顺利完成帮扶任务。</w:t>
            </w:r>
          </w:p>
        </w:tc>
      </w:tr>
      <w:tr w14:paraId="4E809236">
        <w:tblPrEx>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7CD323A">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7C70F0">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7E1D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F1405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FFCC6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F4698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8906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CADA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BFAF8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原因</w:t>
            </w:r>
          </w:p>
        </w:tc>
      </w:tr>
      <w:tr w14:paraId="4E46466E">
        <w:tblPrEx>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88EFFF">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4D177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4B4D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831D9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FB2B6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F01DA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3847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AFE0E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需填写</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EC34C7">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1.预算执行率=预算执行数/调整后预算数，预算执行率未达到90%的需说明原因（100字以内）;2.年中发生预算调整的（追加或调减）,应单独说明理由；3.其他资金包括：社会投入资金、银行贷款.</w:t>
            </w:r>
          </w:p>
        </w:tc>
      </w:tr>
      <w:tr w14:paraId="2B4E4CAC">
        <w:tblPrEx>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B20AE0">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26B8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AE89C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D273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342F8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9.62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AB41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BA391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277BB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F12F1B">
            <w:pPr>
              <w:widowControl/>
              <w:adjustRightInd/>
              <w:spacing w:line="260" w:lineRule="exact"/>
              <w:rPr>
                <w:rFonts w:ascii="宋体" w:hAnsi="宋体" w:eastAsia="宋体" w:cs="宋体"/>
                <w:sz w:val="21"/>
                <w:szCs w:val="21"/>
                <w:lang w:bidi="ar"/>
              </w:rPr>
            </w:pPr>
          </w:p>
        </w:tc>
      </w:tr>
      <w:tr w14:paraId="4ABDFE01">
        <w:tblPrEx>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15AD37">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5B7C0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DBDD4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A7EB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7FB70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2050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B3343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45A9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DAC0B4">
            <w:pPr>
              <w:widowControl/>
              <w:adjustRightInd/>
              <w:spacing w:line="260" w:lineRule="exact"/>
              <w:rPr>
                <w:rFonts w:ascii="宋体" w:hAnsi="宋体" w:eastAsia="宋体" w:cs="宋体"/>
                <w:sz w:val="21"/>
                <w:szCs w:val="21"/>
                <w:lang w:bidi="ar"/>
              </w:rPr>
            </w:pPr>
          </w:p>
        </w:tc>
      </w:tr>
      <w:tr w14:paraId="69239FCB">
        <w:tblPrEx>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815F38">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55FB7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12E9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6E0E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E65BD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CFDC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2949D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47C5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A6CDE8">
            <w:pPr>
              <w:widowControl/>
              <w:adjustRightInd/>
              <w:spacing w:line="260" w:lineRule="exact"/>
              <w:rPr>
                <w:rFonts w:ascii="宋体" w:hAnsi="宋体" w:eastAsia="宋体" w:cs="宋体"/>
                <w:sz w:val="21"/>
                <w:szCs w:val="21"/>
                <w:lang w:bidi="ar"/>
              </w:rPr>
            </w:pPr>
          </w:p>
        </w:tc>
      </w:tr>
      <w:tr w14:paraId="69452CBD">
        <w:tblPrEx>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5A4E01">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EDCB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5A059D">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B7967">
            <w:pPr>
              <w:widowControl/>
              <w:adjustRightInd/>
              <w:spacing w:line="260" w:lineRule="exact"/>
              <w:jc w:val="center"/>
              <w:rPr>
                <w:rFonts w:ascii="宋体" w:hAnsi="宋体" w:eastAsia="宋体" w:cs="宋体"/>
                <w:sz w:val="21"/>
                <w:szCs w:val="21"/>
                <w:lang w:bidi="ar"/>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B504B2">
            <w:pPr>
              <w:widowControl/>
              <w:adjustRightInd/>
              <w:spacing w:line="260" w:lineRule="exact"/>
              <w:jc w:val="center"/>
              <w:rPr>
                <w:rFonts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D80965">
            <w:pPr>
              <w:widowControl/>
              <w:adjustRightInd/>
              <w:spacing w:line="260" w:lineRule="exact"/>
              <w:jc w:val="center"/>
              <w:rPr>
                <w:rFonts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EEFA8">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C0FAD8">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7A4A04">
            <w:pPr>
              <w:widowControl/>
              <w:adjustRightInd/>
              <w:spacing w:line="260" w:lineRule="exact"/>
              <w:rPr>
                <w:rFonts w:ascii="宋体" w:hAnsi="宋体" w:eastAsia="宋体" w:cs="宋体"/>
                <w:sz w:val="21"/>
                <w:szCs w:val="21"/>
                <w:lang w:bidi="ar"/>
              </w:rPr>
            </w:pPr>
          </w:p>
        </w:tc>
      </w:tr>
      <w:tr w14:paraId="2BF72F48">
        <w:tblPrEx>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41A600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D7AB5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02B0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66619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80FD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CD76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8732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E3A4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9CC99C">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76B15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5C207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未完成原因分析</w:t>
            </w:r>
          </w:p>
        </w:tc>
      </w:tr>
      <w:tr w14:paraId="268F6FA4">
        <w:tblPrEx>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09AF65">
            <w:pPr>
              <w:widowControl/>
              <w:adjustRightInd/>
              <w:spacing w:line="260" w:lineRule="exact"/>
              <w:jc w:val="center"/>
              <w:rPr>
                <w:rFonts w:hint="eastAsia" w:ascii="宋体" w:hAnsi="宋体" w:eastAsia="宋体" w:cs="宋体"/>
                <w:sz w:val="21"/>
                <w:szCs w:val="21"/>
                <w:lang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3FB1A2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ACBBB">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29BDEB">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万名医师支援农村工程派驻完成率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AD727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9AF8BE">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B579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C5CB7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84CB7">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F489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74D210">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昭化4人，其他对口支援13人</w:t>
            </w:r>
          </w:p>
        </w:tc>
      </w:tr>
      <w:tr w14:paraId="3D5CA684">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99D37D">
            <w:pPr>
              <w:widowControl/>
              <w:adjustRightInd/>
              <w:spacing w:line="260" w:lineRule="exact"/>
              <w:jc w:val="center"/>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E3A1AB">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CEDF38">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6B4A36">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支（受）援人员考核合格率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2ABB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2DBCEA">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92EB2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886DDA">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418B8">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14D5B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2D347E">
            <w:pPr>
              <w:widowControl/>
              <w:adjustRightInd/>
              <w:spacing w:line="260" w:lineRule="exact"/>
              <w:rPr>
                <w:rFonts w:hint="eastAsia" w:ascii="宋体" w:hAnsi="宋体" w:eastAsia="宋体" w:cs="宋体"/>
                <w:sz w:val="21"/>
                <w:szCs w:val="21"/>
                <w:lang w:bidi="ar"/>
              </w:rPr>
            </w:pPr>
          </w:p>
        </w:tc>
      </w:tr>
      <w:tr w14:paraId="27F9D4B5">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1724BF">
            <w:pPr>
              <w:widowControl/>
              <w:adjustRightInd/>
              <w:spacing w:line="260" w:lineRule="exact"/>
              <w:jc w:val="center"/>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B88F71">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F3522">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CAF0A">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86347D">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18EF4B">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06379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953A8">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5A95E">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F2BAB">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C915A7">
            <w:pPr>
              <w:widowControl/>
              <w:adjustRightInd/>
              <w:spacing w:line="260" w:lineRule="exact"/>
              <w:rPr>
                <w:rFonts w:hint="eastAsia" w:ascii="宋体" w:hAnsi="宋体" w:eastAsia="宋体" w:cs="宋体"/>
                <w:sz w:val="21"/>
                <w:szCs w:val="21"/>
                <w:lang w:bidi="ar"/>
              </w:rPr>
            </w:pPr>
          </w:p>
        </w:tc>
      </w:tr>
      <w:tr w14:paraId="6E48180E">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50964">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B984E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成本指标</w:t>
            </w:r>
          </w:p>
        </w:tc>
        <w:tc>
          <w:tcPr>
            <w:tcW w:w="0" w:type="auto"/>
            <w:tcBorders>
              <w:top w:val="single" w:color="000000" w:sz="4" w:space="0"/>
              <w:left w:val="single" w:color="000000" w:sz="4" w:space="0"/>
              <w:bottom w:val="nil"/>
              <w:right w:val="single" w:color="000000" w:sz="4" w:space="0"/>
            </w:tcBorders>
            <w:noWrap w:val="0"/>
            <w:vAlign w:val="center"/>
          </w:tcPr>
          <w:p w14:paraId="4C4B7E07">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A9949">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中央财政对对口支援“传帮带”项目投入标准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E2BC2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0DC2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D7BF4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万元/人/年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A4437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2.4万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E093E2">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A44B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DEC0C">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昭化4人</w:t>
            </w:r>
          </w:p>
        </w:tc>
      </w:tr>
      <w:tr w14:paraId="45F79B87">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B43D0">
            <w:pPr>
              <w:widowControl/>
              <w:adjustRightInd/>
              <w:spacing w:line="260" w:lineRule="exact"/>
              <w:jc w:val="center"/>
              <w:rPr>
                <w:rFonts w:hint="eastAsia" w:ascii="宋体" w:hAnsi="宋体" w:eastAsia="宋体" w:cs="宋体"/>
                <w:sz w:val="21"/>
                <w:szCs w:val="21"/>
                <w:lang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7B0785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84E13F">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0DC119">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基层医疗卫生机构医疗水平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9F5BF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4687D4">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大幅提高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FFFE9B">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365795">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50BE38">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0436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4ED0E3">
            <w:pPr>
              <w:widowControl/>
              <w:adjustRightInd/>
              <w:spacing w:line="260" w:lineRule="exact"/>
              <w:rPr>
                <w:rFonts w:hint="eastAsia" w:ascii="宋体" w:hAnsi="宋体" w:eastAsia="宋体" w:cs="宋体"/>
                <w:sz w:val="21"/>
                <w:szCs w:val="21"/>
                <w:lang w:bidi="ar"/>
              </w:rPr>
            </w:pPr>
          </w:p>
        </w:tc>
      </w:tr>
      <w:tr w14:paraId="147C1A27">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8D98C">
            <w:pPr>
              <w:widowControl/>
              <w:adjustRightInd/>
              <w:spacing w:line="260" w:lineRule="exact"/>
              <w:jc w:val="center"/>
              <w:rPr>
                <w:rFonts w:hint="eastAsia" w:ascii="宋体" w:hAnsi="宋体" w:eastAsia="宋体" w:cs="宋体"/>
                <w:sz w:val="21"/>
                <w:szCs w:val="21"/>
                <w:lang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CAF0F3">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261952">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可持续影响指标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76326">
            <w:pPr>
              <w:widowControl/>
              <w:adjustRightInd/>
              <w:spacing w:line="260" w:lineRule="exact"/>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卫生健康人才队伍的专业结构、城乡结构和区域分布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FFA14F">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A95CC">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不断优化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F0AB7">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9914E">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FF6559">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F06A1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FDD460">
            <w:pPr>
              <w:widowControl/>
              <w:adjustRightInd/>
              <w:spacing w:line="260" w:lineRule="exact"/>
              <w:rPr>
                <w:rFonts w:hint="eastAsia" w:ascii="宋体" w:hAnsi="宋体" w:eastAsia="宋体" w:cs="宋体"/>
                <w:sz w:val="21"/>
                <w:szCs w:val="21"/>
                <w:lang w:bidi="ar"/>
              </w:rPr>
            </w:pPr>
          </w:p>
        </w:tc>
      </w:tr>
      <w:tr w14:paraId="66D7C03C">
        <w:tblPrEx>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87D9E6">
            <w:pPr>
              <w:widowControl/>
              <w:adjustRightInd/>
              <w:spacing w:line="260" w:lineRule="exact"/>
              <w:jc w:val="center"/>
              <w:rPr>
                <w:rFonts w:hint="eastAsia" w:ascii="宋体" w:hAnsi="宋体" w:eastAsia="宋体" w:cs="宋体"/>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50AE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3B1AC">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C574B">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参培学员满意度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690B3">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A5EE36">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E7F3F0">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F1EC7">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1A2679">
            <w:pPr>
              <w:widowControl/>
              <w:adjustRightInd/>
              <w:spacing w:line="260" w:lineRule="exact"/>
              <w:jc w:val="center"/>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61F911">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9F649">
            <w:pPr>
              <w:widowControl/>
              <w:adjustRightInd/>
              <w:spacing w:line="260" w:lineRule="exact"/>
              <w:rPr>
                <w:rFonts w:hint="eastAsia" w:ascii="宋体" w:hAnsi="宋体" w:eastAsia="宋体" w:cs="宋体"/>
                <w:sz w:val="21"/>
                <w:szCs w:val="21"/>
                <w:lang w:bidi="ar"/>
              </w:rPr>
            </w:pPr>
          </w:p>
        </w:tc>
      </w:tr>
      <w:tr w14:paraId="0A011C09">
        <w:tblPrEx>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D4DCF2C">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AC13B4">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1E4DD2">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EDA631">
            <w:pPr>
              <w:widowControl/>
              <w:adjustRightInd/>
              <w:spacing w:line="260" w:lineRule="exact"/>
              <w:jc w:val="center"/>
              <w:textAlignment w:val="center"/>
              <w:rPr>
                <w:rFonts w:hint="eastAsia" w:ascii="宋体" w:hAnsi="宋体" w:eastAsia="宋体" w:cs="宋体"/>
                <w:sz w:val="21"/>
                <w:szCs w:val="21"/>
                <w:lang w:bidi="ar"/>
              </w:rPr>
            </w:pPr>
          </w:p>
        </w:tc>
      </w:tr>
      <w:tr w14:paraId="6E4C2D55">
        <w:tblPrEx>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0F06F7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F149B70">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24年度我院按照省市相要求，安排17人驻点支援，顺利完成支援任务。帮扶效果良好，受援单位及受援医师均对我院支援医师表示满意，受援科室临床技术水平及管理水平均有一定提升，</w:t>
            </w:r>
          </w:p>
        </w:tc>
      </w:tr>
      <w:tr w14:paraId="6EDF6217">
        <w:tblPrEx>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6AC9D6">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11C88E3">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帮扶辐射范围有限；帮扶结束后后续支持力度不够，</w:t>
            </w:r>
          </w:p>
        </w:tc>
      </w:tr>
      <w:tr w14:paraId="232B799E">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37EB9">
            <w:pPr>
              <w:widowControl/>
              <w:adjustRightInd/>
              <w:spacing w:line="260" w:lineRule="exact"/>
              <w:jc w:val="center"/>
              <w:textAlignment w:val="center"/>
              <w:rPr>
                <w:rFonts w:ascii="宋体" w:hAnsi="宋体" w:eastAsia="宋体" w:cs="宋体"/>
                <w:sz w:val="21"/>
                <w:szCs w:val="21"/>
                <w:lang w:bidi="ar"/>
              </w:rPr>
            </w:pPr>
            <w:r>
              <w:rPr>
                <w:rFonts w:ascii="宋体" w:hAnsi="宋体" w:eastAsia="宋体" w:cs="宋体"/>
                <w:sz w:val="21"/>
                <w:szCs w:val="21"/>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BBF8A57">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1、借助相关政策，扩大帮扶支援范围，为更多有需求的医院提供帮扶支持。2、建立长期联系机制，与受援医院、受援医师建立稳定联系，使帮扶成效长期发挥作用。</w:t>
            </w:r>
          </w:p>
        </w:tc>
      </w:tr>
      <w:tr w14:paraId="53CD85CE">
        <w:tblPrEx>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1F84CA">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项目负责人：</w:t>
            </w:r>
            <w:r>
              <w:rPr>
                <w:rFonts w:hint="eastAsia" w:ascii="宋体" w:hAnsi="宋体" w:eastAsia="宋体" w:cs="宋体"/>
                <w:sz w:val="21"/>
                <w:szCs w:val="21"/>
                <w:lang w:bidi="ar"/>
              </w:rPr>
              <w:t>邱立志</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E806454">
            <w:pPr>
              <w:widowControl/>
              <w:adjustRightInd/>
              <w:spacing w:line="260" w:lineRule="exact"/>
              <w:jc w:val="left"/>
              <w:textAlignment w:val="center"/>
              <w:rPr>
                <w:rFonts w:ascii="宋体" w:hAnsi="宋体" w:eastAsia="宋体" w:cs="宋体"/>
                <w:sz w:val="21"/>
                <w:szCs w:val="21"/>
                <w:lang w:bidi="ar"/>
              </w:rPr>
            </w:pPr>
            <w:r>
              <w:rPr>
                <w:rFonts w:ascii="宋体" w:hAnsi="宋体" w:eastAsia="宋体" w:cs="宋体"/>
                <w:sz w:val="21"/>
                <w:szCs w:val="21"/>
                <w:lang w:bidi="ar"/>
              </w:rPr>
              <w:t>财务负责人：</w:t>
            </w:r>
            <w:r>
              <w:rPr>
                <w:rFonts w:hint="eastAsia" w:ascii="宋体" w:hAnsi="宋体" w:eastAsia="宋体" w:cs="宋体"/>
                <w:sz w:val="21"/>
                <w:szCs w:val="21"/>
                <w:lang w:bidi="ar"/>
              </w:rPr>
              <w:t>甘云燕</w:t>
            </w:r>
          </w:p>
        </w:tc>
      </w:tr>
    </w:tbl>
    <w:p w14:paraId="47848386">
      <w:pPr>
        <w:widowControl/>
        <w:adjustRightInd/>
        <w:spacing w:line="260" w:lineRule="exact"/>
        <w:jc w:val="left"/>
        <w:textAlignment w:val="center"/>
        <w:rPr>
          <w:rFonts w:ascii="Times New Roman" w:hAnsi="Times New Roman" w:eastAsia="方正小标宋简体" w:cs="Times New Roman"/>
          <w:sz w:val="21"/>
          <w:szCs w:val="21"/>
          <w:lang w:bidi="ar"/>
        </w:rPr>
      </w:pPr>
    </w:p>
    <w:p w14:paraId="034E793C">
      <w:pPr>
        <w:tabs>
          <w:tab w:val="left" w:pos="541"/>
        </w:tabs>
        <w:rPr>
          <w:rFonts w:hint="eastAsia"/>
        </w:rPr>
      </w:pPr>
    </w:p>
    <w:p w14:paraId="737C9663">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none"/>
          <w:lang w:val="zh-CN" w:eastAsia="zh-CN"/>
        </w:rPr>
      </w:pPr>
    </w:p>
    <w:p w14:paraId="2131BF34">
      <w:pPr>
        <w:rPr>
          <w:rFonts w:hint="eastAsia" w:ascii="Times New Roman" w:hAnsi="Times New Roman" w:eastAsia="黑体" w:cs="黑体"/>
          <w:color w:val="auto"/>
          <w:kern w:val="0"/>
          <w:sz w:val="32"/>
          <w:szCs w:val="32"/>
          <w:highlight w:val="none"/>
          <w:shd w:val="clear" w:color="auto" w:fill="FFFFFF"/>
          <w:lang w:val="zh-CN"/>
        </w:rPr>
      </w:pPr>
    </w:p>
    <w:p w14:paraId="5ACED84D">
      <w:pPr>
        <w:widowControl/>
        <w:jc w:val="center"/>
        <w:rPr>
          <w:rFonts w:hint="eastAsia" w:ascii="Times New Roman" w:hAnsi="Times New Roman" w:eastAsia="仿宋"/>
          <w:b w:val="0"/>
          <w:color w:val="auto"/>
          <w:highlight w:val="none"/>
        </w:rPr>
      </w:pPr>
      <w:bookmarkStart w:id="58"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5"/>
      <w:bookmarkEnd w:id="58"/>
      <w:bookmarkStart w:id="59" w:name="_Toc15396619"/>
    </w:p>
    <w:p w14:paraId="158ED36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2942CBA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9"/>
    </w:p>
    <w:p w14:paraId="66C15BE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0"/>
      <w:r>
        <w:rPr>
          <w:rFonts w:hint="eastAsia" w:ascii="Times New Roman" w:hAnsi="Times New Roman" w:eastAsia="仿宋_GB2312" w:cs="仿宋_GB2312"/>
          <w:color w:val="auto"/>
          <w:sz w:val="32"/>
          <w:szCs w:val="32"/>
          <w:highlight w:val="none"/>
        </w:rPr>
        <w:t>二、收入决算表</w:t>
      </w:r>
      <w:bookmarkEnd w:id="60"/>
    </w:p>
    <w:p w14:paraId="1C5575C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1"/>
      <w:r>
        <w:rPr>
          <w:rFonts w:hint="eastAsia" w:ascii="Times New Roman" w:hAnsi="Times New Roman" w:eastAsia="仿宋_GB2312" w:cs="仿宋_GB2312"/>
          <w:color w:val="auto"/>
          <w:sz w:val="32"/>
          <w:szCs w:val="32"/>
          <w:highlight w:val="none"/>
        </w:rPr>
        <w:t>三、支出决算表</w:t>
      </w:r>
      <w:bookmarkEnd w:id="61"/>
    </w:p>
    <w:p w14:paraId="67A2530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2"/>
      <w:r>
        <w:rPr>
          <w:rFonts w:hint="eastAsia" w:ascii="Times New Roman" w:hAnsi="Times New Roman" w:eastAsia="仿宋_GB2312" w:cs="仿宋_GB2312"/>
          <w:color w:val="auto"/>
          <w:sz w:val="32"/>
          <w:szCs w:val="32"/>
          <w:highlight w:val="none"/>
        </w:rPr>
        <w:t>四、财政拨款收入支出决算总表</w:t>
      </w:r>
      <w:bookmarkEnd w:id="62"/>
    </w:p>
    <w:p w14:paraId="0F31AD9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3"/>
      <w:r>
        <w:rPr>
          <w:rFonts w:hint="eastAsia" w:ascii="Times New Roman" w:hAnsi="Times New Roman" w:eastAsia="仿宋_GB2312" w:cs="仿宋_GB2312"/>
          <w:color w:val="auto"/>
          <w:sz w:val="32"/>
          <w:szCs w:val="32"/>
          <w:highlight w:val="none"/>
        </w:rPr>
        <w:t>五、财政拨款支出决算明细表</w:t>
      </w:r>
      <w:bookmarkEnd w:id="63"/>
      <w:bookmarkStart w:id="64" w:name="_Toc15396624"/>
    </w:p>
    <w:p w14:paraId="7407BE9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4"/>
    </w:p>
    <w:p w14:paraId="5355B8D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5"/>
      <w:r>
        <w:rPr>
          <w:rFonts w:hint="eastAsia" w:ascii="Times New Roman" w:hAnsi="Times New Roman" w:eastAsia="仿宋_GB2312" w:cs="仿宋_GB2312"/>
          <w:color w:val="auto"/>
          <w:sz w:val="32"/>
          <w:szCs w:val="32"/>
          <w:highlight w:val="none"/>
        </w:rPr>
        <w:t>七、一般公共预算财政拨款支出决算明细表</w:t>
      </w:r>
      <w:bookmarkEnd w:id="65"/>
    </w:p>
    <w:p w14:paraId="43CEC38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6"/>
      <w:r>
        <w:rPr>
          <w:rFonts w:hint="eastAsia" w:ascii="Times New Roman" w:hAnsi="Times New Roman" w:eastAsia="仿宋_GB2312" w:cs="仿宋_GB2312"/>
          <w:color w:val="auto"/>
          <w:sz w:val="32"/>
          <w:szCs w:val="32"/>
          <w:highlight w:val="none"/>
        </w:rPr>
        <w:t>八、一般公共预算财政拨款基本支出决算表</w:t>
      </w:r>
      <w:bookmarkEnd w:id="66"/>
    </w:p>
    <w:p w14:paraId="1FE1219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7"/>
      <w:r>
        <w:rPr>
          <w:rFonts w:hint="eastAsia" w:ascii="Times New Roman" w:hAnsi="Times New Roman" w:eastAsia="仿宋_GB2312" w:cs="仿宋_GB2312"/>
          <w:color w:val="auto"/>
          <w:sz w:val="32"/>
          <w:szCs w:val="32"/>
          <w:highlight w:val="none"/>
        </w:rPr>
        <w:t>九、一般公共预算财政拨款项目支出决算表</w:t>
      </w:r>
      <w:bookmarkEnd w:id="67"/>
    </w:p>
    <w:p w14:paraId="150783E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28"/>
      <w:r>
        <w:rPr>
          <w:rFonts w:hint="eastAsia" w:ascii="Times New Roman" w:hAnsi="Times New Roman" w:eastAsia="仿宋_GB2312" w:cs="仿宋_GB2312"/>
          <w:color w:val="auto"/>
          <w:sz w:val="32"/>
          <w:szCs w:val="32"/>
          <w:highlight w:val="none"/>
        </w:rPr>
        <w:t>十、</w:t>
      </w:r>
      <w:bookmarkEnd w:id="68"/>
      <w:r>
        <w:rPr>
          <w:rFonts w:hint="eastAsia" w:ascii="Times New Roman" w:hAnsi="Times New Roman" w:eastAsia="仿宋_GB2312" w:cs="仿宋_GB2312"/>
          <w:color w:val="auto"/>
          <w:sz w:val="32"/>
          <w:szCs w:val="32"/>
          <w:highlight w:val="none"/>
        </w:rPr>
        <w:t>政府性基金预算财政拨款收入支出决算表</w:t>
      </w:r>
    </w:p>
    <w:p w14:paraId="2CD4CC3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9" w:name="_Toc15396629"/>
      <w:r>
        <w:rPr>
          <w:rFonts w:hint="eastAsia" w:ascii="Times New Roman" w:hAnsi="Times New Roman" w:eastAsia="仿宋_GB2312" w:cs="仿宋_GB2312"/>
          <w:color w:val="auto"/>
          <w:sz w:val="32"/>
          <w:szCs w:val="32"/>
          <w:highlight w:val="none"/>
        </w:rPr>
        <w:t>十一、</w:t>
      </w:r>
      <w:bookmarkEnd w:id="6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50D6BB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30"/>
      <w:r>
        <w:rPr>
          <w:rFonts w:hint="eastAsia" w:ascii="Times New Roman" w:hAnsi="Times New Roman" w:eastAsia="仿宋_GB2312" w:cs="仿宋_GB2312"/>
          <w:color w:val="auto"/>
          <w:sz w:val="32"/>
          <w:szCs w:val="32"/>
          <w:highlight w:val="none"/>
        </w:rPr>
        <w:t>十二、</w:t>
      </w:r>
      <w:bookmarkEnd w:id="70"/>
      <w:r>
        <w:rPr>
          <w:rFonts w:hint="eastAsia" w:ascii="Times New Roman" w:hAnsi="Times New Roman" w:eastAsia="仿宋_GB2312" w:cs="仿宋_GB2312"/>
          <w:color w:val="auto"/>
          <w:sz w:val="32"/>
          <w:szCs w:val="32"/>
          <w:highlight w:val="none"/>
          <w:lang w:eastAsia="zh-CN"/>
        </w:rPr>
        <w:t>国有资本经营预算财政拨款支出决算表</w:t>
      </w:r>
    </w:p>
    <w:p w14:paraId="750D143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1" w:name="_Toc15396631"/>
      <w:r>
        <w:rPr>
          <w:rFonts w:hint="eastAsia" w:ascii="Times New Roman" w:hAnsi="Times New Roman" w:eastAsia="仿宋_GB2312" w:cs="仿宋_GB2312"/>
          <w:color w:val="auto"/>
          <w:sz w:val="32"/>
          <w:szCs w:val="32"/>
          <w:highlight w:val="none"/>
        </w:rPr>
        <w:t>十三、</w:t>
      </w:r>
      <w:bookmarkEnd w:id="71"/>
      <w:r>
        <w:rPr>
          <w:rFonts w:hint="eastAsia" w:ascii="Times New Roman" w:hAnsi="Times New Roman" w:eastAsia="仿宋_GB2312" w:cs="仿宋_GB2312"/>
          <w:color w:val="auto"/>
          <w:sz w:val="32"/>
          <w:szCs w:val="32"/>
          <w:highlight w:val="none"/>
          <w:lang w:eastAsia="zh-CN"/>
        </w:rPr>
        <w:t>财政拨款“三公”经费支出决算表</w:t>
      </w:r>
    </w:p>
    <w:p w14:paraId="49396711">
      <w:pPr>
        <w:rPr>
          <w:rFonts w:hint="eastAsia" w:ascii="Times New Roman" w:hAnsi="Times New Roman"/>
          <w:highlight w:val="none"/>
          <w:lang w:eastAsia="zh-CN"/>
        </w:rPr>
      </w:pPr>
    </w:p>
    <w:sectPr>
      <w:footerReference r:id="rId7" w:type="first"/>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4DE9148-982D-42F2-8796-731367DA9F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B2EBE8B-3F7C-48EE-868E-9E91E3AD0140}"/>
  </w:font>
  <w:font w:name="仿宋_GB2312">
    <w:panose1 w:val="02010609030101010101"/>
    <w:charset w:val="86"/>
    <w:family w:val="modern"/>
    <w:pitch w:val="default"/>
    <w:sig w:usb0="00000001" w:usb1="080E0000" w:usb2="00000000" w:usb3="00000000" w:csb0="00040000" w:csb1="00000000"/>
    <w:embedRegular r:id="rId3" w:fontKey="{816FBBDD-42B1-4CE5-BFAE-821F64B8D4A4}"/>
  </w:font>
  <w:font w:name="??">
    <w:altName w:val="仿宋"/>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embedRegular r:id="rId4" w:fontKey="{3D7780B9-6818-44DC-A190-9DA44EADEDB7}"/>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embedRegular r:id="rId5" w:fontKey="{C607C652-97D8-4FD8-83A5-968AEDC2FA63}"/>
  </w:font>
  <w:font w:name="CESI楷体-GB2312">
    <w:altName w:val="楷体_GB2312"/>
    <w:panose1 w:val="02000500000000000000"/>
    <w:charset w:val="86"/>
    <w:family w:val="auto"/>
    <w:pitch w:val="default"/>
    <w:sig w:usb0="00000000" w:usb1="00000000" w:usb2="00000012" w:usb3="00000000" w:csb0="0004000F" w:csb1="00000000"/>
    <w:embedRegular r:id="rId6" w:fontKey="{B1775B78-4FF9-47A0-9A3C-A396F55FC9C7}"/>
  </w:font>
  <w:font w:name="方正楷体_GBK">
    <w:altName w:val="Arial Unicode MS"/>
    <w:panose1 w:val="02000000000000000000"/>
    <w:charset w:val="86"/>
    <w:family w:val="auto"/>
    <w:pitch w:val="default"/>
    <w:sig w:usb0="00000000" w:usb1="00000000" w:usb2="00000000" w:usb3="00000000" w:csb0="00040000" w:csb1="00000000"/>
    <w:embedRegular r:id="rId7" w:fontKey="{96B1F12E-1BB6-44D2-B2D3-CF3E8E723EBB}"/>
  </w:font>
  <w:font w:name="CESI仿宋-GB2312">
    <w:altName w:val="仿宋"/>
    <w:panose1 w:val="02000500000000000000"/>
    <w:charset w:val="86"/>
    <w:family w:val="auto"/>
    <w:pitch w:val="default"/>
    <w:sig w:usb0="00000000" w:usb1="00000000" w:usb2="00000010" w:usb3="00000000" w:csb0="0004000F" w:csb1="00000000"/>
    <w:embedRegular r:id="rId8" w:fontKey="{2DC1557B-98D6-4ED0-AF5B-4AA9B7264726}"/>
  </w:font>
  <w:font w:name="微软雅黑">
    <w:panose1 w:val="020B0503020204020204"/>
    <w:charset w:val="86"/>
    <w:family w:val="swiss"/>
    <w:pitch w:val="default"/>
    <w:sig w:usb0="80000287" w:usb1="2ACF3C50" w:usb2="00000016" w:usb3="00000000" w:csb0="0004001F" w:csb1="00000000"/>
    <w:embedRegular r:id="rId9" w:fontKey="{19CA4836-5898-46D9-AA09-E4A25D0602CD}"/>
  </w:font>
  <w:font w:name="方正公文小标宋">
    <w:altName w:val="方正公文小标宋"/>
    <w:panose1 w:val="02000500000000000000"/>
    <w:charset w:val="86"/>
    <w:family w:val="auto"/>
    <w:pitch w:val="default"/>
    <w:sig w:usb0="A00002BF" w:usb1="38CF7CFA" w:usb2="00000016" w:usb3="00000000" w:csb0="00040001" w:csb1="00000000"/>
    <w:embedRegular r:id="rId10" w:fontKey="{522266C1-E988-4036-B151-56D44EE74C7A}"/>
  </w:font>
  <w:font w:name="方正楷体_GB2312">
    <w:altName w:val="方正楷体_GB2312"/>
    <w:panose1 w:val="02000000000000000000"/>
    <w:charset w:val="86"/>
    <w:family w:val="auto"/>
    <w:pitch w:val="default"/>
    <w:sig w:usb0="A00002BF" w:usb1="184F6CFA" w:usb2="00000012" w:usb3="00000000" w:csb0="00040001" w:csb1="00000000"/>
    <w:embedRegular r:id="rId11" w:fontKey="{D5C05ABB-0987-4865-9BE8-C7DF3B9E2589}"/>
  </w:font>
  <w:font w:name="方正仿宋_GB2312">
    <w:altName w:val="方正仿宋_GB2312"/>
    <w:panose1 w:val="02000000000000000000"/>
    <w:charset w:val="86"/>
    <w:family w:val="auto"/>
    <w:pitch w:val="default"/>
    <w:sig w:usb0="A00002BF" w:usb1="184F6CFA" w:usb2="00000012" w:usb3="00000000" w:csb0="00040001" w:csb1="00000000"/>
    <w:embedRegular r:id="rId12" w:fontKey="{7DF4D34D-5919-4D72-85FD-45B4CCFDAC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26ED">
    <w:pPr>
      <w:pStyle w:val="11"/>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3D11A6">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7A3D11A6">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8F19">
    <w:pPr>
      <w:pStyle w:val="11"/>
      <w:jc w:val="center"/>
    </w:pPr>
  </w:p>
  <w:p w14:paraId="04910E3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B03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5BA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512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D03FE"/>
    <w:multiLevelType w:val="singleLevel"/>
    <w:tmpl w:val="C36D03FE"/>
    <w:lvl w:ilvl="0" w:tentative="0">
      <w:start w:val="1"/>
      <w:numFmt w:val="decimal"/>
      <w:suff w:val="space"/>
      <w:lvlText w:val="%1."/>
      <w:lvlJc w:val="left"/>
    </w:lvl>
  </w:abstractNum>
  <w:abstractNum w:abstractNumId="1">
    <w:nsid w:val="FD9B2C2E"/>
    <w:multiLevelType w:val="singleLevel"/>
    <w:tmpl w:val="FD9B2C2E"/>
    <w:lvl w:ilvl="0" w:tentative="0">
      <w:start w:val="1"/>
      <w:numFmt w:val="chineseCounting"/>
      <w:suff w:val="nothing"/>
      <w:lvlText w:val="%1、"/>
      <w:lvlJc w:val="left"/>
      <w:rPr>
        <w:rFonts w:hint="eastAsia"/>
      </w:rPr>
    </w:lvl>
  </w:abstractNum>
  <w:abstractNum w:abstractNumId="2">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C70C37"/>
    <w:rsid w:val="02FEBE30"/>
    <w:rsid w:val="061E35DE"/>
    <w:rsid w:val="066E0107"/>
    <w:rsid w:val="0798FD94"/>
    <w:rsid w:val="07996F6E"/>
    <w:rsid w:val="07DFD8BA"/>
    <w:rsid w:val="09867E8F"/>
    <w:rsid w:val="0A2032A3"/>
    <w:rsid w:val="0CA8290A"/>
    <w:rsid w:val="0D35B1ED"/>
    <w:rsid w:val="0F98263C"/>
    <w:rsid w:val="101860EC"/>
    <w:rsid w:val="10C055FF"/>
    <w:rsid w:val="11772AA4"/>
    <w:rsid w:val="118107EC"/>
    <w:rsid w:val="13D50BC4"/>
    <w:rsid w:val="165E0673"/>
    <w:rsid w:val="16BB723D"/>
    <w:rsid w:val="186504BB"/>
    <w:rsid w:val="19A445FC"/>
    <w:rsid w:val="1A9FE8C6"/>
    <w:rsid w:val="1BE8440E"/>
    <w:rsid w:val="1D155CEE"/>
    <w:rsid w:val="1E740ACF"/>
    <w:rsid w:val="1FF35744"/>
    <w:rsid w:val="1FF6BC77"/>
    <w:rsid w:val="22F9401C"/>
    <w:rsid w:val="23860B96"/>
    <w:rsid w:val="240371BF"/>
    <w:rsid w:val="260F557C"/>
    <w:rsid w:val="281408E2"/>
    <w:rsid w:val="29FD04D3"/>
    <w:rsid w:val="2BFF7BC6"/>
    <w:rsid w:val="2C8A61B5"/>
    <w:rsid w:val="2DF04E50"/>
    <w:rsid w:val="2F040D46"/>
    <w:rsid w:val="2FAE5751"/>
    <w:rsid w:val="2FB1A395"/>
    <w:rsid w:val="2FD9A7D8"/>
    <w:rsid w:val="2FDBF714"/>
    <w:rsid w:val="319F7F4E"/>
    <w:rsid w:val="32BD1EF1"/>
    <w:rsid w:val="3304709D"/>
    <w:rsid w:val="349D6851"/>
    <w:rsid w:val="36AA5135"/>
    <w:rsid w:val="36BE0DA7"/>
    <w:rsid w:val="376B6AA6"/>
    <w:rsid w:val="376D39B2"/>
    <w:rsid w:val="37E16F03"/>
    <w:rsid w:val="37F53A3B"/>
    <w:rsid w:val="389B6C89"/>
    <w:rsid w:val="38D469F0"/>
    <w:rsid w:val="39627CCD"/>
    <w:rsid w:val="397BAF1F"/>
    <w:rsid w:val="3AB79AF3"/>
    <w:rsid w:val="3B7EF35A"/>
    <w:rsid w:val="3B9FDB6C"/>
    <w:rsid w:val="3BF5BC2F"/>
    <w:rsid w:val="3CEBA265"/>
    <w:rsid w:val="3D98207C"/>
    <w:rsid w:val="3DEE7CF3"/>
    <w:rsid w:val="3E78745D"/>
    <w:rsid w:val="3F55381A"/>
    <w:rsid w:val="3F7F7599"/>
    <w:rsid w:val="3FF4CAE0"/>
    <w:rsid w:val="3FF7B227"/>
    <w:rsid w:val="44E268DA"/>
    <w:rsid w:val="486A6C7A"/>
    <w:rsid w:val="4A627F82"/>
    <w:rsid w:val="4B0E749A"/>
    <w:rsid w:val="4B4F25DA"/>
    <w:rsid w:val="4BE068DB"/>
    <w:rsid w:val="4D577224"/>
    <w:rsid w:val="4DBF1CEB"/>
    <w:rsid w:val="4EAB630A"/>
    <w:rsid w:val="4ECE2238"/>
    <w:rsid w:val="4F833267"/>
    <w:rsid w:val="4FE9BD67"/>
    <w:rsid w:val="4FFB052F"/>
    <w:rsid w:val="537E6D0A"/>
    <w:rsid w:val="53F74C96"/>
    <w:rsid w:val="56E47B74"/>
    <w:rsid w:val="57BD3DD4"/>
    <w:rsid w:val="5AF92295"/>
    <w:rsid w:val="5BDD79E6"/>
    <w:rsid w:val="5BF561CA"/>
    <w:rsid w:val="5BFF5DFC"/>
    <w:rsid w:val="5CD71FC4"/>
    <w:rsid w:val="5D1F11B5"/>
    <w:rsid w:val="5DAE1B18"/>
    <w:rsid w:val="5DE7D9E5"/>
    <w:rsid w:val="5ECEC941"/>
    <w:rsid w:val="5FBF9FF3"/>
    <w:rsid w:val="5FCD4E2C"/>
    <w:rsid w:val="5FEF394A"/>
    <w:rsid w:val="5FF67715"/>
    <w:rsid w:val="62BF3928"/>
    <w:rsid w:val="647F5392"/>
    <w:rsid w:val="664B1D71"/>
    <w:rsid w:val="67AA3209"/>
    <w:rsid w:val="698D0931"/>
    <w:rsid w:val="6A7FE5F3"/>
    <w:rsid w:val="6B053271"/>
    <w:rsid w:val="6C4A05C8"/>
    <w:rsid w:val="6C8742B8"/>
    <w:rsid w:val="6DBF5E93"/>
    <w:rsid w:val="6DFF077E"/>
    <w:rsid w:val="6E7E3605"/>
    <w:rsid w:val="6E7FDCC7"/>
    <w:rsid w:val="6ED6A62E"/>
    <w:rsid w:val="6EE00B15"/>
    <w:rsid w:val="6F6FB3EB"/>
    <w:rsid w:val="6F8731EA"/>
    <w:rsid w:val="6FCE6052"/>
    <w:rsid w:val="6FD57C00"/>
    <w:rsid w:val="6FEFFFD8"/>
    <w:rsid w:val="6FF5CC65"/>
    <w:rsid w:val="6FFB47EC"/>
    <w:rsid w:val="6FFF034A"/>
    <w:rsid w:val="712A28F1"/>
    <w:rsid w:val="715C0E4B"/>
    <w:rsid w:val="72233669"/>
    <w:rsid w:val="72734D90"/>
    <w:rsid w:val="7332FE48"/>
    <w:rsid w:val="73AB61DA"/>
    <w:rsid w:val="73AD73D5"/>
    <w:rsid w:val="73B6EB34"/>
    <w:rsid w:val="73FA497D"/>
    <w:rsid w:val="744731E5"/>
    <w:rsid w:val="74BBD01D"/>
    <w:rsid w:val="74ED5379"/>
    <w:rsid w:val="75DEEEC2"/>
    <w:rsid w:val="76E3355F"/>
    <w:rsid w:val="76FF5125"/>
    <w:rsid w:val="776F6FFA"/>
    <w:rsid w:val="778769C8"/>
    <w:rsid w:val="77DC22F5"/>
    <w:rsid w:val="79086DAD"/>
    <w:rsid w:val="79D7FD79"/>
    <w:rsid w:val="79EE5BA4"/>
    <w:rsid w:val="7A894339"/>
    <w:rsid w:val="7AD284E8"/>
    <w:rsid w:val="7AFF7572"/>
    <w:rsid w:val="7B6C7DFB"/>
    <w:rsid w:val="7BBFBED0"/>
    <w:rsid w:val="7BC3E394"/>
    <w:rsid w:val="7C1F3737"/>
    <w:rsid w:val="7CBFC87B"/>
    <w:rsid w:val="7CFE0F48"/>
    <w:rsid w:val="7D7EC23E"/>
    <w:rsid w:val="7DEFA2AE"/>
    <w:rsid w:val="7E8ADEBF"/>
    <w:rsid w:val="7EEF11D3"/>
    <w:rsid w:val="7EFE4840"/>
    <w:rsid w:val="7F0971A6"/>
    <w:rsid w:val="7F3F679B"/>
    <w:rsid w:val="7F4FC4EF"/>
    <w:rsid w:val="7F5E4D54"/>
    <w:rsid w:val="7F6E0135"/>
    <w:rsid w:val="7F79F205"/>
    <w:rsid w:val="7FA30C79"/>
    <w:rsid w:val="7FA79C44"/>
    <w:rsid w:val="7FAF8ABF"/>
    <w:rsid w:val="7FB7269E"/>
    <w:rsid w:val="7FBCD054"/>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7DAB09"/>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37096;&#38376;&#20915;&#31639;/2024&#24180;&#37096;&#38376;&#20915;&#31639;/&#22270;&#34920;-202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26700;&#38754;/&#37096;&#38376;&#20915;&#31639;/2024&#24180;&#37096;&#38376;&#20915;&#31639;/&#22270;&#34920;-202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26700;&#38754;/&#37096;&#38376;&#20915;&#31639;/2024&#24180;&#37096;&#38376;&#20915;&#31639;/&#22270;&#34920;-202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ome/user/&#26700;&#38754;/&#37096;&#38376;&#20915;&#31639;/2024&#24180;&#37096;&#38376;&#20915;&#31639;/&#22270;&#349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收、支年初决算上下年度对比表</a:t>
            </a:r>
          </a:p>
        </c:rich>
      </c:tx>
      <c:layout>
        <c:manualLayout>
          <c:xMode val="edge"/>
          <c:yMode val="edge"/>
          <c:x val="0.231491274457959"/>
          <c:y val="0.03430258973194"/>
        </c:manualLayout>
      </c:layout>
      <c:overlay val="0"/>
      <c:spPr>
        <a:noFill/>
        <a:ln>
          <a:noFill/>
        </a:ln>
        <a:effectLst/>
      </c:spPr>
    </c:title>
    <c:autoTitleDeleted val="0"/>
    <c:plotArea>
      <c:layout/>
      <c:barChart>
        <c:barDir val="col"/>
        <c:grouping val="clustered"/>
        <c:varyColors val="0"/>
        <c:ser>
          <c:idx val="0"/>
          <c:order val="0"/>
          <c:tx>
            <c:strRef>
              <c:f>'[图表-2024.xls]Sheet1'!$A$153</c:f>
              <c:strCache>
                <c:ptCount val="1"/>
                <c:pt idx="0">
                  <c:v>金额</c:v>
                </c:pt>
              </c:strCache>
            </c:strRef>
          </c:tx>
          <c:spPr>
            <a:solidFill>
              <a:srgbClr val="4F81BD"/>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'[图表-2024.xls]Sheet1'!$B$152:$D$152</c:f>
              <c:strCache>
                <c:ptCount val="3"/>
                <c:pt idx="1">
                  <c:v>2023年</c:v>
                </c:pt>
                <c:pt idx="2">
                  <c:v>2024年</c:v>
                </c:pt>
              </c:strCache>
            </c:strRef>
          </c:cat>
          <c:val>
            <c:numRef>
              <c:f>'[图表-2024.xls]Sheet1'!$B$153:$D$153</c:f>
              <c:numCache>
                <c:formatCode>General</c:formatCode>
                <c:ptCount val="3"/>
                <c:pt idx="0">
                  <c:v>0</c:v>
                </c:pt>
                <c:pt idx="1">
                  <c:v>1532.32</c:v>
                </c:pt>
                <c:pt idx="2" c:formatCode="0.00_ ">
                  <c:v>1531.62</c:v>
                </c:pt>
              </c:numCache>
            </c:numRef>
          </c:val>
        </c:ser>
        <c:dLbls>
          <c:showLegendKey val="0"/>
          <c:showVal val="1"/>
          <c:showCatName val="0"/>
          <c:showSerName val="0"/>
          <c:showPercent val="0"/>
          <c:showBubbleSize val="0"/>
        </c:dLbls>
        <c:gapWidth val="219"/>
        <c:overlap val="-27"/>
        <c:axId val="178006864"/>
        <c:axId val="774315380"/>
      </c:barChart>
      <c:catAx>
        <c:axId val="17800686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74315380"/>
        <c:crosses val="autoZero"/>
        <c:auto val="1"/>
        <c:lblAlgn val="ctr"/>
        <c:lblOffset val="100"/>
        <c:noMultiLvlLbl val="0"/>
      </c:catAx>
      <c:valAx>
        <c:axId val="77431538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8006864"/>
        <c:crosses val="autoZero"/>
        <c:crossBetween val="between"/>
      </c:valAx>
      <c:spPr>
        <a:noFill/>
        <a:ln>
          <a:noFill/>
        </a:ln>
        <a:effectLst/>
      </c:spPr>
    </c:plotArea>
    <c:plotVisOnly val="1"/>
    <c:dispBlanksAs val="gap"/>
    <c:showDLblsOverMax val="0"/>
    <c:extLst>
      <c:ext uri="{0b15fc19-7d7d-44ad-8c2d-2c3a37ce22c3}">
        <chartProps xmlns="https://web.wps.cn/et/2018/main" chartId="{05b1f467-42c2-41df-b30c-2c0096e47a35}"/>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spc="0" baseline="0">
                <a:solidFill>
                  <a:srgbClr val="595959">
                    <a:lumMod val="65000"/>
                    <a:lumOff val="35000"/>
                  </a:srgbClr>
                </a:solidFill>
                <a:latin typeface="黑体" panose="02010600030101010101" charset="-122"/>
                <a:ea typeface="黑体" panose="02010600030101010101" charset="-122"/>
                <a:cs typeface="黑体" panose="02010600030101010101" charset="-122"/>
                <a:sym typeface="黑体" panose="02010600030101010101" charset="-122"/>
              </a:defRPr>
            </a:pPr>
            <a:r>
              <a:rPr sz="1800" b="0">
                <a:latin typeface="黑体" panose="02010600030101010101" charset="-122"/>
                <a:ea typeface="黑体" panose="02010600030101010101" charset="-122"/>
                <a:cs typeface="黑体" panose="02010600030101010101" charset="-122"/>
                <a:sym typeface="黑体" panose="02010600030101010101" charset="-122"/>
              </a:rPr>
              <a:t>收入决算结构图</a:t>
            </a:r>
            <a:endParaRPr sz="1800" b="0">
              <a:latin typeface="黑体" panose="02010600030101010101" charset="-122"/>
              <a:ea typeface="黑体" panose="02010600030101010101" charset="-122"/>
              <a:cs typeface="黑体" panose="02010600030101010101" charset="-122"/>
              <a:sym typeface="黑体" panose="02010600030101010101" charset="-122"/>
            </a:endParaRPr>
          </a:p>
        </c:rich>
      </c:tx>
      <c:layout>
        <c:manualLayout>
          <c:xMode val="edge"/>
          <c:yMode val="edge"/>
          <c:x val="0.319243604004449"/>
          <c:y val="0.0424692504061267"/>
        </c:manualLayout>
      </c:layout>
      <c:overlay val="0"/>
      <c:spPr>
        <a:noFill/>
        <a:ln>
          <a:noFill/>
        </a:ln>
        <a:effectLst/>
      </c:spPr>
    </c:title>
    <c:autoTitleDeleted val="0"/>
    <c:plotArea>
      <c:layout>
        <c:manualLayout>
          <c:layoutTarget val="inner"/>
          <c:xMode val="edge"/>
          <c:yMode val="edge"/>
          <c:x val="0.0739710789766407"/>
          <c:y val="0.210025527964725"/>
          <c:w val="0.449249165739711"/>
          <c:h val="0.749825945695057"/>
        </c:manualLayout>
      </c:layout>
      <c:pieChart>
        <c:varyColors val="1"/>
        <c:ser>
          <c:idx val="0"/>
          <c:order val="0"/>
          <c:tx>
            <c:strRef>
              <c:f>'[图表-2024.xls]Sheet1'!$I$2</c:f>
              <c:strCache>
                <c:ptCount val="1"/>
                <c:pt idx="0">
                  <c:v>金额</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'[图表-2024.xls]Sheet1'!$J$1:$Q$1</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'[图表-2024.xls]Sheet1'!$J$2:$Q$2</c:f>
              <c:numCache>
                <c:formatCode>#,##0.00</c:formatCode>
                <c:ptCount val="8"/>
                <c:pt idx="0">
                  <c:v>1531.62</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54ba044c-cb91-4c28-bc64-3b6d8eddcf28}"/>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支出决算构成表</a:t>
            </a:r>
          </a:p>
        </c:rich>
      </c:tx>
      <c:layout/>
      <c:overlay val="0"/>
      <c:spPr>
        <a:noFill/>
        <a:ln>
          <a:noFill/>
        </a:ln>
        <a:effectLst/>
      </c:spPr>
    </c:title>
    <c:autoTitleDeleted val="0"/>
    <c:plotArea>
      <c:layout/>
      <c:pieChart>
        <c:varyColors val="1"/>
        <c:ser>
          <c:idx val="0"/>
          <c:order val="0"/>
          <c:tx>
            <c:strRef>
              <c:f>'[图表-2024.xls]Sheet1'!$A$31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'[图表-2024.xls]Sheet1'!$B$30:$F$30</c:f>
              <c:strCache>
                <c:ptCount val="5"/>
                <c:pt idx="0">
                  <c:v>基本支出</c:v>
                </c:pt>
                <c:pt idx="1">
                  <c:v>项目支出</c:v>
                </c:pt>
                <c:pt idx="2">
                  <c:v>上缴上级支出</c:v>
                </c:pt>
                <c:pt idx="3">
                  <c:v>经营支出</c:v>
                </c:pt>
                <c:pt idx="4">
                  <c:v>对附属单位补助支出</c:v>
                </c:pt>
              </c:strCache>
            </c:strRef>
          </c:cat>
          <c:val>
            <c:numRef>
              <c:f>'[图表-2024.xls]Sheet1'!$B$31:$F$31</c:f>
              <c:numCache>
                <c:formatCode>#,##0.00</c:formatCode>
                <c:ptCount val="5"/>
                <c:pt idx="0">
                  <c:v>0</c:v>
                </c:pt>
                <c:pt idx="1">
                  <c:v>1220.74</c:v>
                </c:pt>
                <c:pt idx="2">
                  <c:v>0</c:v>
                </c:pt>
                <c:pt idx="3">
                  <c:v>0</c:v>
                </c:pt>
                <c:pt idx="4">
                  <c:v>0</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1e93415-4172-4368-80b4-3fdde2a6b3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cap="none" spc="0" normalizeH="0" baseline="0">
                <a:solidFill>
                  <a:schemeClr val="tx1"/>
                </a:solidFill>
                <a:uFill/>
                <a:latin typeface="+mn-lt"/>
                <a:ea typeface="+mn-ea"/>
                <a:cs typeface="+mn-cs"/>
              </a:defRPr>
            </a:pPr>
            <a:r>
              <a:rPr sz="1440" b="1" i="0" u="none" strike="noStrike" cap="none" normalizeH="0" baseline="0">
                <a:solidFill>
                  <a:srgbClr val="000000"/>
                </a:solidFill>
                <a:uFill/>
                <a:latin typeface="Calibri" panose="020F0502020204030204" pitchFamily="2" charset="0"/>
                <a:ea typeface="Calibri" panose="020F0502020204030204" pitchFamily="2" charset="0"/>
                <a:cs typeface="Calibri" panose="020F0502020204030204" pitchFamily="2" charset="0"/>
              </a:rPr>
              <a:t>财政拨款收、支决算总计变动情况</a:t>
            </a:r>
            <a:endParaRPr sz="1100" b="0" i="0" u="none" strike="noStrike" cap="none" normalizeH="0" baseline="0">
              <a:solidFill>
                <a:srgbClr val="000000"/>
              </a:solidFill>
              <a:u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1"/>
        <c:ser>
          <c:idx val="0"/>
          <c:order val="0"/>
          <c:tx>
            <c:strRef>
              <c:f>'[图表-2024.xls]Sheet1'!$K$30</c:f>
              <c:strCache>
                <c:ptCount val="1"/>
                <c:pt idx="0">
                  <c:v>金额</c:v>
                </c:pt>
              </c:strCache>
            </c:strRef>
          </c:tx>
          <c:spPr>
            <a:solidFill>
              <a:schemeClr val="accent1"/>
            </a:solidFill>
          </c:spPr>
          <c:invertIfNegative val="0"/>
          <c:dPt>
            <c:idx val="0"/>
            <c:invertIfNegative val="0"/>
            <c:bubble3D val="0"/>
            <c:explosion val="0"/>
            <c:spPr>
              <a:solidFill>
                <a:srgbClr val="4F81BD">
                  <a:alpha val="100000"/>
                </a:srgbClr>
              </a:solidFill>
              <a:ln w="9525">
                <a:noFill/>
              </a:ln>
            </c:spPr>
          </c:dPt>
          <c:dPt>
            <c:idx val="1"/>
            <c:invertIfNegative val="0"/>
            <c:bubble3D val="0"/>
            <c:explosion val="0"/>
            <c:spPr>
              <a:solidFill>
                <a:srgbClr val="4F81BD">
                  <a:alpha val="100000"/>
                </a:srgbClr>
              </a:solidFill>
              <a:ln w="9525">
                <a:noFill/>
              </a:ln>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'[图表-2024.xls]Sheet1'!$L$29:$N$29</c15:sqref>
                  </c15:fullRef>
                </c:ext>
              </c:extLst>
              <c:f>'[图表-2024.xls]Sheet1'!$L$29:$M$29</c:f>
              <c:strCache>
                <c:ptCount val="2"/>
                <c:pt idx="0">
                  <c:v>2023年财政拨款收、支决算数</c:v>
                </c:pt>
                <c:pt idx="1">
                  <c:v>2024年财政拨款收、支决算数</c:v>
                </c:pt>
              </c:strCache>
            </c:strRef>
          </c:cat>
          <c:val>
            <c:numRef>
              <c:extLst>
                <c:ext xmlns:c15="http://schemas.microsoft.com/office/drawing/2012/chart" uri="{02D57815-91ED-43cb-92C2-25804820EDAC}">
                  <c15:fullRef>
                    <c15:sqref>Sheet1!$L$30:$N$30</c15:sqref>
                  </c15:fullRef>
                </c:ext>
              </c:extLst>
              <c:f>'[图表-2024.xls]Sheet1'!$L$30:$M$30</c:f>
              <c:numCache>
                <c:formatCode>General</c:formatCode>
                <c:ptCount val="2"/>
                <c:pt idx="0">
                  <c:v>1532.32</c:v>
                </c:pt>
                <c:pt idx="1">
                  <c:v>1531.62</c:v>
                </c:pt>
              </c:numCache>
            </c:numRef>
          </c:val>
        </c:ser>
        <c:dLbls>
          <c:showLegendKey val="0"/>
          <c:showVal val="0"/>
          <c:showCatName val="0"/>
          <c:showSerName val="0"/>
          <c:showPercent val="0"/>
          <c:showBubbleSize val="0"/>
        </c:dLbls>
        <c:gapWidth val="219"/>
        <c:overlap val="-100"/>
        <c:axId val="699740163"/>
        <c:axId val="424315985"/>
      </c:barChart>
      <c:catAx>
        <c:axId val="699740163"/>
        <c:scaling>
          <c:orientation val="minMax"/>
        </c:scaling>
        <c:delete val="0"/>
        <c:axPos val="b"/>
        <c:title>
          <c:tx>
            <c:rich>
              <a:bodyPr rot="0" spcFirstLastPara="0" vertOverflow="ellipsis" vert="horz" wrap="square" anchor="ctr" anchorCtr="1"/>
              <a:lstStyle/>
              <a:p>
                <a:pPr defTabSz="914400">
                  <a:defRPr lang="zh-CN" sz="1200" b="0" i="0" u="none" strike="noStrike" kern="1200" cap="none" spc="0" normalizeH="0" baseline="0">
                    <a:solidFill>
                      <a:schemeClr val="tx1"/>
                    </a:solidFill>
                    <a:uFill/>
                    <a:latin typeface="+mn-lt"/>
                    <a:ea typeface="+mn-ea"/>
                    <a:cs typeface="+mn-cs"/>
                  </a:defRPr>
                </a:pPr>
                <a:r>
                  <a:rPr>
                    <a:solidFill>
                      <a:schemeClr val="tx1"/>
                    </a:solidFill>
                    <a:uFill/>
                  </a:rPr>
                  <a:t>单位：万元</a:t>
                </a:r>
                <a:endParaRPr sz="1200" b="0" i="0" u="none" strike="noStrike" baseline="0">
                  <a:solidFill>
                    <a:schemeClr val="tx1"/>
                  </a:solidFill>
                  <a:u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793380088622525"/>
              <c:y val="0.0964068482265405"/>
            </c:manualLayout>
          </c:layout>
          <c:overlay val="0"/>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424315985"/>
        <c:crosses val="autoZero"/>
        <c:auto val="1"/>
        <c:lblAlgn val="ctr"/>
        <c:lblOffset val="100"/>
        <c:noMultiLvlLbl val="0"/>
      </c:catAx>
      <c:valAx>
        <c:axId val="42431598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p>
        </c:txPr>
        <c:crossAx val="699740163"/>
        <c:crosses val="autoZero"/>
        <c:crossBetween val="between"/>
      </c:valAx>
      <c:dTable>
        <c:showHorzBorder val="1"/>
        <c:showVertBorder val="1"/>
        <c:showOutline val="1"/>
        <c:showKeys val="1"/>
        <c:spPr>
          <a:noFill/>
          <a:ln w="12700" cap="flat" cmpd="sng" algn="ctr">
            <a:solidFill>
              <a:schemeClr val="tx1"/>
            </a:solidFill>
            <a:prstDash val="solid"/>
            <a:round/>
          </a:ln>
          <a:effectLst/>
        </c:spPr>
        <c:txPr>
          <a:bodyPr rot="0" spcFirstLastPara="0" vertOverflow="ellipsis" vert="horz" wrap="square" anchor="ctr" anchorCtr="1"/>
          <a:lstStyle/>
          <a:p>
            <a:pPr>
              <a:defRPr lang="zh-CN" sz="1100" b="0" i="0" u="none" strike="noStrike" kern="1200" cap="none" spc="0" normalizeH="0" baseline="0">
                <a:solidFill>
                  <a:schemeClr val="tx1"/>
                </a:solidFill>
                <a:uFill>
                  <a:solidFill>
                    <a:schemeClr val="tx1"/>
                  </a:solidFill>
                </a:uFill>
                <a:latin typeface="+mn-lt"/>
                <a:ea typeface="+mn-ea"/>
                <a:cs typeface="+mn-cs"/>
              </a:defRPr>
            </a:pPr>
          </a:p>
        </c:txPr>
      </c:dTable>
      <c:spPr>
        <a:noFill/>
        <a:ln w="12700">
          <a:solidFill>
            <a:srgbClr val="000000">
              <a:alpha val="100000"/>
            </a:srgbClr>
          </a:solidFill>
          <a:prstDash val="solid"/>
        </a:ln>
      </c:spPr>
    </c:plotArea>
    <c:plotVisOnly val="1"/>
    <c:dispBlanksAs val="gap"/>
    <c:showDLblsOverMax val="0"/>
    <c:extLst>
      <c:ext uri="{0b15fc19-7d7d-44ad-8c2d-2c3a37ce22c3}">
        <chartProps xmlns="https://web.wps.cn/et/2018/main" chartId="{fbb38978-5701-4d21-a14b-fe3b6499bc1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u="none" strike="noStrike" kern="1200" cap="none" spc="0" normalizeH="0">
          <a:solidFill>
            <a:schemeClr val="tx1"/>
          </a:solidFill>
          <a:uFill>
            <a:solidFill>
              <a:schemeClr val="tx1"/>
            </a:solidFill>
          </a:u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56497567755386"/>
          <c:y val="0.0294840294840295"/>
        </c:manualLayout>
      </c:layout>
      <c:overlay val="0"/>
      <c:spPr>
        <a:noFill/>
        <a:ln>
          <a:noFill/>
        </a:ln>
        <a:effectLst/>
      </c:spPr>
    </c:title>
    <c:autoTitleDeleted val="0"/>
    <c:plotArea>
      <c:layout/>
      <c:barChart>
        <c:barDir val="col"/>
        <c:grouping val="clustered"/>
        <c:varyColors val="0"/>
        <c:ser>
          <c:idx val="0"/>
          <c:order val="0"/>
          <c:tx>
            <c:strRef>
              <c:f>'[图表-2024.xls]Sheet1'!$A$57</c:f>
              <c:strCache>
                <c:ptCount val="1"/>
                <c:pt idx="0">
                  <c:v>金额（万元）</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'[图表-2024.xls]Sheet1'!$B$56:$C$56</c:f>
              <c:strCache>
                <c:ptCount val="2"/>
                <c:pt idx="0">
                  <c:v>2023年一般公共预算财政拨款支出</c:v>
                </c:pt>
                <c:pt idx="1">
                  <c:v>2024年一般公共预算财政拨款支出</c:v>
                </c:pt>
              </c:strCache>
            </c:strRef>
          </c:cat>
          <c:val>
            <c:numRef>
              <c:f>'[图表-2024.xls]Sheet1'!$B$57:$C$57</c:f>
              <c:numCache>
                <c:formatCode>General</c:formatCode>
                <c:ptCount val="2"/>
                <c:pt idx="0">
                  <c:v>1532.32</c:v>
                </c:pt>
                <c:pt idx="1">
                  <c:v>1531.62</c:v>
                </c:pt>
              </c:numCache>
            </c:numRef>
          </c:val>
        </c:ser>
        <c:dLbls>
          <c:showLegendKey val="0"/>
          <c:showVal val="0"/>
          <c:showCatName val="0"/>
          <c:showSerName val="0"/>
          <c:showPercent val="0"/>
          <c:showBubbleSize val="0"/>
        </c:dLbls>
        <c:gapWidth val="219"/>
        <c:overlap val="-27"/>
        <c:axId val="404728589"/>
        <c:axId val="483292941"/>
      </c:barChart>
      <c:catAx>
        <c:axId val="40472858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3292941"/>
        <c:crosses val="autoZero"/>
        <c:auto val="1"/>
        <c:lblAlgn val="ctr"/>
        <c:lblOffset val="100"/>
        <c:noMultiLvlLbl val="0"/>
      </c:catAx>
      <c:valAx>
        <c:axId val="48329294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728589"/>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679d895d-66f0-487c-821a-289854a685bc}"/>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800" b="1" i="0" u="none" strike="noStrike" baseline="0">
                <a:solidFill>
                  <a:srgbClr val="000000"/>
                </a:solidFill>
                <a:latin typeface="Calibri" panose="020F0502020204030204" charset="-122"/>
                <a:ea typeface="Calibri" panose="020F0502020204030204" charset="-122"/>
                <a:cs typeface="Calibri" panose="020F0502020204030204" charset="-122"/>
              </a:rPr>
              <a:t>一般公共预算财政拨款支出决算结构</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893955215222184"/>
          <c:y val="0.0414275018717245"/>
        </c:manualLayout>
      </c:layout>
      <c:overlay val="0"/>
    </c:title>
    <c:autoTitleDeleted val="0"/>
    <c:plotArea>
      <c:layout>
        <c:manualLayout>
          <c:layoutTarget val="inner"/>
          <c:xMode val="edge"/>
          <c:yMode val="edge"/>
          <c:x val="0.214890016920474"/>
          <c:y val="0.253472222222222"/>
          <c:w val="0.565143824027073"/>
          <c:h val="0.638888888888889"/>
        </c:manualLayout>
      </c:layout>
      <c:pieChart>
        <c:varyColors val="1"/>
        <c:ser>
          <c:idx val="0"/>
          <c:order val="0"/>
          <c:tx>
            <c:strRef>
              <c:f>'[图表-2024.xls]Sheet1'!$K$58</c:f>
              <c:strCache>
                <c:ptCount val="1"/>
                <c:pt idx="0">
                  <c:v>金额</c:v>
                </c:pt>
              </c:strCache>
            </c:strRef>
          </c:tx>
          <c:explosion val="0"/>
          <c:dPt>
            <c:idx val="0"/>
            <c:bubble3D val="0"/>
          </c:dPt>
          <c:dPt>
            <c:idx val="1"/>
            <c:bubble3D val="0"/>
          </c:dPt>
          <c:dLbls>
            <c:dLbl>
              <c:idx val="0"/>
              <c:layout>
                <c:manualLayout>
                  <c:x val="-0.134354333449356"/>
                  <c:y val="-0.09943390639427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877234934861015"/>
                  <c:y val="0.064266056511952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'[图表-2024.xls]Sheet1'!$L$57:$M$57</c:f>
              <c:strCache>
                <c:ptCount val="2"/>
                <c:pt idx="0">
                  <c:v>一般公共服务支出</c:v>
                </c:pt>
                <c:pt idx="1">
                  <c:v>卫生健康支出</c:v>
                </c:pt>
              </c:strCache>
            </c:strRef>
          </c:cat>
          <c:val>
            <c:numRef>
              <c:f>'[图表-2024.xls]Sheet1'!$L$58:$M$58</c:f>
              <c:numCache>
                <c:formatCode>General</c:formatCode>
                <c:ptCount val="2"/>
                <c:pt idx="0">
                  <c:v>1410.06</c:v>
                </c:pt>
                <c:pt idx="1">
                  <c:v>121.56</c:v>
                </c:pt>
              </c:numCache>
            </c:numRef>
          </c:val>
        </c:ser>
        <c:dLbls>
          <c:showLegendKey val="0"/>
          <c:showVal val="0"/>
          <c:showCatName val="0"/>
          <c:showSerName val="0"/>
          <c:showPercent val="0"/>
          <c:showBubbleSize val="0"/>
          <c:showLeaderLines val="1"/>
        </c:dLbls>
        <c:firstSliceAng val="50"/>
      </c:pieChart>
      <c:spPr>
        <a:noFill/>
        <a:ln w="3175">
          <a:noFill/>
        </a:ln>
      </c:spPr>
    </c:plotArea>
    <c:plotVisOnly val="1"/>
    <c:dispBlanksAs val="zero"/>
    <c:showDLblsOverMax val="0"/>
    <c:extLst>
      <c:ext uri="{0b15fc19-7d7d-44ad-8c2d-2c3a37ce22c3}">
        <chartProps xmlns="https://web.wps.cn/et/2018/main" chartId="{eab303f9-841f-4d1b-ad4a-0dc48c6ea924}"/>
      </c:ext>
    </c:extLst>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800" b="1" i="0" u="none" strike="noStrike" baseline="0">
                <a:solidFill>
                  <a:srgbClr val="000000"/>
                </a:solidFill>
                <a:latin typeface="Calibri" panose="020F0502020204030204" charset="-122"/>
                <a:ea typeface="Calibri" panose="020F0502020204030204" charset="-122"/>
                <a:cs typeface="Calibri" panose="020F0502020204030204" charset="-122"/>
              </a:rPr>
              <a:t>“三公”经费财政拨款支出结构</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90036900369004"/>
          <c:y val="0.253473081709397"/>
          <c:w val="0.614391143911439"/>
          <c:h val="0.638891055267521"/>
        </c:manualLayout>
      </c:layout>
      <c:pieChart>
        <c:varyColors val="1"/>
        <c:ser>
          <c:idx val="0"/>
          <c:order val="0"/>
          <c:tx>
            <c:strRef>
              <c:f>'[图表-2024.xls]Sheet1'!$A$80</c:f>
              <c:strCache>
                <c:ptCount val="1"/>
                <c:pt idx="0">
                  <c:v>金额</c:v>
                </c:pt>
              </c:strCache>
            </c:strRef>
          </c:tx>
          <c:explosion val="0"/>
          <c:dPt>
            <c:idx val="0"/>
            <c:bubble3D val="0"/>
          </c:dPt>
          <c:dPt>
            <c:idx val="1"/>
            <c:bubble3D val="0"/>
          </c:dPt>
          <c:dPt>
            <c:idx val="2"/>
            <c:bubble3D val="0"/>
          </c:dPt>
          <c:dLbls>
            <c:dLbl>
              <c:idx val="2"/>
              <c:layout>
                <c:manualLayout>
                  <c:x val="-0.137356825383296"/>
                  <c:y val="0.209952730948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'[图表-2024.xls]Sheet1'!$B$79:$D$79</c:f>
              <c:strCache>
                <c:ptCount val="3"/>
                <c:pt idx="0">
                  <c:v>公务用车购置及运行费</c:v>
                </c:pt>
                <c:pt idx="1">
                  <c:v>公务接待费</c:v>
                </c:pt>
                <c:pt idx="2">
                  <c:v>因公出国（境）</c:v>
                </c:pt>
              </c:strCache>
            </c:strRef>
          </c:cat>
          <c:val>
            <c:numRef>
              <c:f>'[图表-2024.xls]Sheet1'!$B$80:$D$80</c:f>
              <c:numCache>
                <c:formatCode>General</c:formatCode>
                <c:ptCount val="3"/>
                <c:pt idx="0">
                  <c:v>96.94</c:v>
                </c:pt>
                <c:pt idx="1">
                  <c:v>2</c:v>
                </c:pt>
                <c:pt idx="2">
                  <c:v>0</c:v>
                </c:pt>
              </c:numCache>
            </c:numRef>
          </c:val>
        </c:ser>
        <c:dLbls>
          <c:showLegendKey val="0"/>
          <c:showVal val="0"/>
          <c:showCatName val="0"/>
          <c:showSerName val="0"/>
          <c:showPercent val="0"/>
          <c:showBubbleSize val="0"/>
          <c:showLeaderLines val="1"/>
        </c:dLbls>
        <c:firstSliceAng val="50"/>
      </c:pieChart>
      <c:spPr>
        <a:noFill/>
        <a:ln w="3175">
          <a:noFill/>
        </a:ln>
      </c:spPr>
    </c:plotArea>
    <c:plotVisOnly val="1"/>
    <c:dispBlanksAs val="zero"/>
    <c:showDLblsOverMax val="0"/>
    <c:extLst>
      <c:ext uri="{0b15fc19-7d7d-44ad-8c2d-2c3a37ce22c3}">
        <chartProps xmlns="https://web.wps.cn/et/2018/main" chartId="{8c956a20-bc84-439f-b72a-48f9e600c9ce}"/>
      </c:ext>
    </c:extLst>
  </c:chart>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465</Words>
  <Characters>474</Characters>
  <Lines>61</Lines>
  <Paragraphs>17</Paragraphs>
  <TotalTime>26</TotalTime>
  <ScaleCrop>false</ScaleCrop>
  <LinksUpToDate>false</LinksUpToDate>
  <CharactersWithSpaces>481</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培培</cp:lastModifiedBy>
  <cp:lastPrinted>2025-08-08T01:34:00Z</cp:lastPrinted>
  <dcterms:modified xsi:type="dcterms:W3CDTF">2025-08-29T02:01:41Z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3BF536824C220DA3E40E8B68BA118B1C_42</vt:lpwstr>
  </property>
  <property fmtid="{D5CDD505-2E9C-101B-9397-08002B2CF9AE}" pid="4" name="KSOTemplateDocerSaveRecord">
    <vt:lpwstr>eyJoZGlkIjoiYTM2NmIxOWFmYTk4YjQyZThhMWQxZTJhNGNhYjQ5YzkiLCJ1c2VySWQiOiIyNzQxMTA3NTEifQ==</vt:lpwstr>
  </property>
</Properties>
</file>