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项目编号</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bCs/>
          <w:sz w:val="32"/>
          <w:szCs w:val="32"/>
        </w:rPr>
        <w:t>2025GGBCGFW005</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r>
        <w:rPr>
          <w:rFonts w:hint="eastAsia" w:ascii="方正小标宋简体" w:hAnsi="Calibri" w:eastAsia="方正小标宋简体" w:cs="Times New Roman"/>
          <w:color w:val="auto"/>
          <w:spacing w:val="-6"/>
          <w:sz w:val="44"/>
          <w:szCs w:val="44"/>
          <w:highlight w:val="none"/>
          <w:lang w:val="en-US" w:eastAsia="zh-CN"/>
        </w:rPr>
        <w:t>华丰一区等六个老旧小区改造（配套基础设施）项目可研报告编制比价资料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color w:val="auto"/>
          <w:sz w:val="32"/>
          <w:szCs w:val="32"/>
          <w:highlight w:val="none"/>
          <w:lang w:eastAsia="zh-CN"/>
        </w:rPr>
        <w:t>根据</w:t>
      </w:r>
      <w:r>
        <w:rPr>
          <w:rFonts w:hint="eastAsia" w:ascii="仿宋_GB2312" w:hAnsi="Calibri" w:eastAsia="仿宋_GB2312" w:cs="Times New Roman"/>
          <w:color w:val="auto"/>
          <w:sz w:val="32"/>
          <w:szCs w:val="32"/>
          <w:highlight w:val="none"/>
          <w:lang w:val="en-US" w:eastAsia="zh-CN"/>
        </w:rPr>
        <w:t>中物院公共事务管理</w:t>
      </w:r>
      <w:r>
        <w:rPr>
          <w:rFonts w:hint="eastAsia" w:ascii="仿宋_GB2312" w:hAnsi="Calibri" w:eastAsia="仿宋_GB2312" w:cs="Times New Roman"/>
          <w:color w:val="auto"/>
          <w:sz w:val="32"/>
          <w:szCs w:val="32"/>
          <w:highlight w:val="none"/>
          <w:lang w:eastAsia="zh-CN"/>
        </w:rPr>
        <w:t>部统筹安排，为推进华丰一区等六个老旧小区改造（配套基础设施）项目建设。</w:t>
      </w:r>
      <w:r>
        <w:rPr>
          <w:rFonts w:hint="eastAsia" w:ascii="仿宋" w:hAnsi="仿宋" w:eastAsia="仿宋" w:cs="仿宋"/>
          <w:bCs/>
          <w:color w:val="auto"/>
          <w:sz w:val="32"/>
          <w:szCs w:val="32"/>
          <w:highlight w:val="none"/>
          <w:lang w:val="en-US" w:eastAsia="zh-CN"/>
        </w:rPr>
        <w:t>拟对华丰一区等六个老旧小区改造（配套基础设施）项目可研报告编制</w:t>
      </w:r>
      <w:r>
        <w:rPr>
          <w:rFonts w:hint="eastAsia" w:ascii="仿宋_GB2312" w:hAnsi="仿宋" w:eastAsia="仿宋_GB2312" w:cs="Times New Roman"/>
          <w:snapToGrid w:val="0"/>
          <w:color w:val="auto"/>
          <w:kern w:val="0"/>
          <w:sz w:val="32"/>
          <w:szCs w:val="32"/>
          <w:highlight w:val="none"/>
          <w:lang w:val="en-US" w:eastAsia="zh-CN" w:bidi="ar-SA"/>
        </w:rPr>
        <w:t>进行调研比价采购，</w:t>
      </w:r>
      <w:r>
        <w:rPr>
          <w:rFonts w:hint="eastAsia" w:ascii="仿宋_GB2312" w:eastAsia="仿宋_GB2312" w:cs="Arial" w:hAnsiTheme="minorEastAsia"/>
          <w:color w:val="auto"/>
          <w:spacing w:val="-11"/>
          <w:sz w:val="32"/>
          <w:szCs w:val="32"/>
          <w:highlight w:val="none"/>
        </w:rPr>
        <w:t>邀请</w:t>
      </w:r>
      <w:r>
        <w:rPr>
          <w:rFonts w:hint="eastAsia" w:ascii="仿宋_GB2312" w:eastAsia="仿宋_GB2312" w:cs="Arial" w:hAnsiTheme="minorEastAsia"/>
          <w:color w:val="auto"/>
          <w:spacing w:val="-11"/>
          <w:sz w:val="32"/>
          <w:szCs w:val="32"/>
          <w:highlight w:val="none"/>
          <w:lang w:val="en-US" w:eastAsia="zh-CN"/>
        </w:rPr>
        <w:t>符合条件的</w:t>
      </w:r>
      <w:r>
        <w:rPr>
          <w:rFonts w:hint="eastAsia" w:ascii="仿宋_GB2312" w:eastAsia="仿宋_GB2312" w:cs="Arial" w:hAnsiTheme="minorEastAsia"/>
          <w:color w:val="auto"/>
          <w:spacing w:val="-11"/>
          <w:sz w:val="32"/>
          <w:szCs w:val="32"/>
          <w:highlight w:val="none"/>
        </w:rPr>
        <w:t>供应商</w:t>
      </w:r>
      <w:r>
        <w:rPr>
          <w:rFonts w:hint="eastAsia" w:ascii="仿宋" w:hAnsi="仿宋" w:eastAsia="仿宋" w:cs="仿宋"/>
          <w:bCs/>
          <w:color w:val="auto"/>
          <w:sz w:val="32"/>
          <w:szCs w:val="32"/>
          <w:highlight w:val="none"/>
          <w:lang w:val="en-US" w:eastAsia="zh-CN"/>
        </w:rPr>
        <w:t>参</w:t>
      </w:r>
      <w:r>
        <w:rPr>
          <w:rFonts w:hint="eastAsia" w:ascii="仿宋_GB2312" w:hAnsi="仿宋" w:eastAsia="仿宋_GB2312" w:cs="Times New Roman"/>
          <w:snapToGrid w:val="0"/>
          <w:color w:val="auto"/>
          <w:kern w:val="0"/>
          <w:sz w:val="32"/>
          <w:szCs w:val="32"/>
          <w:highlight w:val="none"/>
          <w:lang w:val="en-US" w:eastAsia="zh-CN" w:bidi="ar-SA"/>
        </w:rPr>
        <w:t>加比价。</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一、比价须知</w:t>
      </w:r>
    </w:p>
    <w:p>
      <w:pPr>
        <w:spacing w:line="560" w:lineRule="exact"/>
        <w:ind w:firstLine="640" w:firstLineChars="200"/>
        <w:rPr>
          <w:rFonts w:hint="default" w:ascii="仿宋_GB2312" w:eastAsia="仿宋_GB2312"/>
          <w:color w:val="auto"/>
          <w:sz w:val="32"/>
          <w:szCs w:val="32"/>
          <w:highlight w:val="none"/>
          <w:u w:val="none"/>
          <w:lang w:val="en-US" w:eastAsia="zh-CN"/>
        </w:rPr>
      </w:pPr>
      <w:r>
        <w:rPr>
          <w:rFonts w:hint="eastAsia" w:ascii="仿宋_GB2312" w:hAnsi="仿宋" w:eastAsia="仿宋_GB2312" w:cs="Times New Roman"/>
          <w:snapToGrid w:val="0"/>
          <w:color w:val="auto"/>
          <w:kern w:val="0"/>
          <w:sz w:val="32"/>
          <w:szCs w:val="32"/>
          <w:highlight w:val="none"/>
          <w:lang w:val="en-US" w:eastAsia="zh-CN" w:bidi="ar-SA"/>
        </w:rPr>
        <w:t xml:space="preserve">项目名称：华丰一区等六个老旧小区改造（配套基础设施）项目可研报告编制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项目编号：2025GGBCGFW005</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采购方式：调研比价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预算金额/最高限价：</w:t>
      </w:r>
      <w:r>
        <w:rPr>
          <w:rFonts w:hint="eastAsia" w:ascii="仿宋_GB2312" w:hAnsi="宋体" w:eastAsia="仿宋_GB2312" w:cs="Arial"/>
          <w:color w:val="auto"/>
          <w:sz w:val="32"/>
          <w:szCs w:val="32"/>
          <w:highlight w:val="none"/>
        </w:rPr>
        <w:t>人民币</w:t>
      </w:r>
      <w:r>
        <w:rPr>
          <w:rFonts w:hint="eastAsia" w:ascii="仿宋_GB2312" w:hAnsi="宋体" w:eastAsia="仿宋_GB2312" w:cs="Arial"/>
          <w:color w:val="auto"/>
          <w:sz w:val="32"/>
          <w:szCs w:val="32"/>
          <w:highlight w:val="none"/>
          <w:lang w:val="en-US" w:eastAsia="zh-CN"/>
        </w:rPr>
        <w:t>1000</w:t>
      </w:r>
      <w:r>
        <w:rPr>
          <w:rFonts w:hint="eastAsia" w:ascii="仿宋_GB2312" w:hAnsi="宋体" w:eastAsia="仿宋_GB2312" w:cs="Arial"/>
          <w:color w:val="auto"/>
          <w:sz w:val="32"/>
          <w:szCs w:val="32"/>
          <w:highlight w:val="none"/>
        </w:rPr>
        <w:t>00</w:t>
      </w:r>
      <w:r>
        <w:rPr>
          <w:rFonts w:hint="eastAsia" w:ascii="仿宋_GB2312" w:hAnsi="宋体" w:eastAsia="仿宋_GB2312" w:cs="Arial"/>
          <w:color w:val="auto"/>
          <w:sz w:val="32"/>
          <w:szCs w:val="32"/>
          <w:highlight w:val="none"/>
          <w:lang w:val="en-US" w:eastAsia="zh-CN"/>
        </w:rPr>
        <w:t>.00</w:t>
      </w:r>
      <w:r>
        <w:rPr>
          <w:rFonts w:hint="eastAsia" w:ascii="仿宋" w:hAnsi="仿宋" w:eastAsia="仿宋"/>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项目完成期限：自合同签订之日起至可行性研究报告编制结束，共2个月。</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项目地点：科学城</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s="Times New Roman"/>
          <w:snapToGrid w:val="0"/>
          <w:color w:val="auto"/>
          <w:kern w:val="0"/>
          <w:sz w:val="32"/>
          <w:szCs w:val="32"/>
          <w:highlight w:val="none"/>
          <w:u w:val="none"/>
          <w:lang w:val="en-US" w:eastAsia="zh-CN" w:bidi="ar-SA"/>
        </w:rPr>
        <w:t>采购人：</w:t>
      </w:r>
      <w:r>
        <w:rPr>
          <w:rFonts w:hint="eastAsia" w:ascii="仿宋" w:hAnsi="仿宋" w:eastAsia="仿宋" w:cs="仿宋"/>
          <w:bCs/>
          <w:color w:val="auto"/>
          <w:sz w:val="32"/>
          <w:szCs w:val="32"/>
          <w:highlight w:val="none"/>
        </w:rPr>
        <w:t>中国工程物理研究院公共事务管理部</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统一采购实施部门：服务保障中心</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zh-CN"/>
        </w:rPr>
        <w:t>响应文件有效期：响应文件有效期为递交响应文件截止之日起</w:t>
      </w:r>
      <w:r>
        <w:rPr>
          <w:rFonts w:hint="eastAsia" w:ascii="仿宋_GB2312" w:hAnsi="仿宋_GB2312" w:eastAsia="仿宋_GB2312" w:cs="仿宋_GB2312"/>
          <w:color w:val="auto"/>
          <w:kern w:val="0"/>
          <w:sz w:val="32"/>
          <w:szCs w:val="32"/>
          <w:highlight w:val="none"/>
          <w:shd w:val="clear" w:color="auto" w:fill="FFFFFF"/>
        </w:rPr>
        <w:t>9</w:t>
      </w:r>
      <w:r>
        <w:rPr>
          <w:rFonts w:hint="eastAsia" w:ascii="仿宋_GB2312" w:hAnsi="仿宋_GB2312" w:eastAsia="仿宋_GB2312" w:cs="仿宋_GB2312"/>
          <w:color w:val="auto"/>
          <w:kern w:val="0"/>
          <w:sz w:val="32"/>
          <w:szCs w:val="32"/>
          <w:highlight w:val="none"/>
          <w:shd w:val="clear" w:color="auto" w:fill="FFFFFF"/>
          <w:lang w:val="zh-CN"/>
        </w:rPr>
        <w:t>0天。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供应商邀请方式：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本次邀请由采购人通过下列第</w:t>
      </w:r>
      <w:r>
        <w:rPr>
          <w:rFonts w:hint="eastAsia" w:ascii="仿宋_GB2312" w:hAnsi="仿宋" w:eastAsia="仿宋_GB2312" w:cs="Times New Roman"/>
          <w:snapToGrid w:val="0"/>
          <w:color w:val="auto"/>
          <w:kern w:val="0"/>
          <w:sz w:val="32"/>
          <w:szCs w:val="32"/>
          <w:highlight w:val="none"/>
          <w:u w:val="single"/>
          <w:lang w:val="en-US" w:eastAsia="zh-CN" w:bidi="ar-SA"/>
        </w:rPr>
        <w:t xml:space="preserve"> 1 </w:t>
      </w:r>
      <w:r>
        <w:rPr>
          <w:rFonts w:hint="eastAsia" w:ascii="仿宋_GB2312" w:hAnsi="仿宋" w:eastAsia="仿宋_GB2312" w:cs="Times New Roman"/>
          <w:snapToGrid w:val="0"/>
          <w:color w:val="auto"/>
          <w:kern w:val="0"/>
          <w:sz w:val="32"/>
          <w:szCs w:val="32"/>
          <w:highlight w:val="none"/>
          <w:lang w:val="en-US" w:eastAsia="zh-CN" w:bidi="ar-SA"/>
        </w:rPr>
        <w:t>种方式</w:t>
      </w:r>
      <w:r>
        <w:rPr>
          <w:rFonts w:hint="eastAsia" w:ascii="仿宋_GB2312" w:hAnsi="Times New Roman" w:eastAsia="仿宋_GB2312" w:cs="Times New Roman"/>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1.公告邀请方式（在科学城阳光政务网上发布，公告期限为3个工作日）；</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2.直接邀请方式。</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比价人资格</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shd w:val="clear" w:color="auto" w:fill="FFFFFF"/>
        </w:rPr>
        <w:t>具有独立承担民事责任的能力；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rPr>
        <w:t>.具有良好的商业信誉和健全的财务会计制度；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rPr>
        <w:t>.具有履行合同所必需的设备和专业技术能力；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pacing w:val="-11"/>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pacing w:val="-11"/>
          <w:kern w:val="0"/>
          <w:sz w:val="32"/>
          <w:szCs w:val="32"/>
          <w:highlight w:val="none"/>
          <w:shd w:val="clear" w:color="auto" w:fill="FFFFFF"/>
        </w:rPr>
        <w:t>参加采购活动前3年内在经营活动中没有重大违法记录；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.单位负责人为同一人或存在直接控股、管理关系的不同供应商，不得参加同一合同项下的采购活动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w:t>
      </w:r>
      <w:r>
        <w:rPr>
          <w:rFonts w:hint="eastAsia" w:ascii="仿宋_GB2312" w:hAnsi="仿宋_GB2312" w:eastAsia="仿宋_GB2312" w:cs="仿宋_GB2312"/>
          <w:color w:val="auto"/>
          <w:kern w:val="0"/>
          <w:sz w:val="32"/>
          <w:szCs w:val="32"/>
          <w:highlight w:val="none"/>
          <w:shd w:val="clear" w:color="auto" w:fill="FFFFFF"/>
        </w:rPr>
        <w:t>.被国家监管部门列入政府采购严重违反失信记录及被院处以禁入处罚的供应商，在禁止期内不得参加我部采购活动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8.</w:t>
      </w:r>
      <w:r>
        <w:rPr>
          <w:rFonts w:hint="eastAsia" w:ascii="仿宋_GB2312" w:hAnsi="仿宋_GB2312" w:eastAsia="仿宋_GB2312" w:cs="仿宋_GB2312"/>
          <w:color w:val="auto"/>
          <w:kern w:val="0"/>
          <w:sz w:val="32"/>
          <w:szCs w:val="32"/>
          <w:highlight w:val="none"/>
          <w:shd w:val="clear" w:color="auto" w:fill="FFFFFF"/>
        </w:rPr>
        <w:t>法律、行政法规规定的其他条件</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eastAsia="仿宋_GB2312"/>
          <w:color w:val="auto"/>
          <w:highlight w:val="none"/>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9</w:t>
      </w:r>
      <w:r>
        <w:rPr>
          <w:rFonts w:hint="eastAsia" w:ascii="仿宋_GB2312" w:hAnsi="仿宋_GB2312" w:eastAsia="仿宋_GB2312" w:cs="仿宋_GB2312"/>
          <w:color w:val="auto"/>
          <w:kern w:val="0"/>
          <w:sz w:val="32"/>
          <w:szCs w:val="32"/>
          <w:highlight w:val="none"/>
          <w:shd w:val="clear" w:color="auto" w:fill="FFFFFF"/>
          <w:lang w:val="zh-CN"/>
        </w:rPr>
        <w:t>.</w:t>
      </w:r>
      <w:r>
        <w:rPr>
          <w:rFonts w:hint="eastAsia" w:ascii="仿宋_GB2312" w:hAnsi="仿宋_GB2312" w:eastAsia="仿宋_GB2312" w:cs="仿宋_GB2312"/>
          <w:color w:val="auto"/>
          <w:sz w:val="32"/>
          <w:szCs w:val="32"/>
          <w:highlight w:val="none"/>
          <w:lang w:val="zh-CN"/>
        </w:rPr>
        <w:t>特定资质条件：供应商须在“全国投资项目在线审批监管平台”中的工程咨询单位名录内（备案专业含建筑专业），具有所申请专业的乙级及以上资信等级，或具有乙级及以上综合资信等级</w:t>
      </w:r>
      <w:r>
        <w:rPr>
          <w:rFonts w:hint="eastAsia" w:ascii="仿宋_GB2312" w:hAnsi="仿宋_GB2312" w:eastAsia="仿宋_GB2312" w:cs="仿宋_GB2312"/>
          <w:color w:val="auto"/>
          <w:kern w:val="0"/>
          <w:sz w:val="32"/>
          <w:szCs w:val="32"/>
          <w:highlight w:val="none"/>
          <w:shd w:val="clear" w:color="auto" w:fill="FFFFFF"/>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比价人提供的资质</w:t>
      </w:r>
      <w:r>
        <w:rPr>
          <w:rFonts w:hint="eastAsia" w:ascii="楷体_GB2312" w:hAnsi="楷体_GB2312" w:eastAsia="楷体_GB2312" w:cs="楷体_GB2312"/>
          <w:color w:val="auto"/>
          <w:sz w:val="32"/>
          <w:szCs w:val="32"/>
          <w:highlight w:val="none"/>
          <w:lang w:val="en-US" w:eastAsia="zh-CN"/>
        </w:rPr>
        <w:t>及其他</w:t>
      </w:r>
      <w:r>
        <w:rPr>
          <w:rFonts w:hint="eastAsia" w:ascii="楷体_GB2312" w:hAnsi="楷体_GB2312" w:eastAsia="楷体_GB2312" w:cs="楷体_GB2312"/>
          <w:color w:val="auto"/>
          <w:sz w:val="32"/>
          <w:szCs w:val="32"/>
          <w:highlight w:val="none"/>
        </w:rPr>
        <w:t>证明文件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tabs>
          <w:tab w:val="left" w:pos="683"/>
        </w:tabs>
        <w:kinsoku/>
        <w:wordWrap/>
        <w:overflowPunct/>
        <w:topLinePunct w:val="0"/>
        <w:autoSpaceDE/>
        <w:autoSpaceDN/>
        <w:bidi w:val="0"/>
        <w:adjustRightInd/>
        <w:snapToGrid w:val="0"/>
        <w:spacing w:line="500" w:lineRule="exact"/>
        <w:ind w:firstLine="480" w:firstLineChars="200"/>
        <w:textAlignment w:val="auto"/>
        <w:rPr>
          <w:rFonts w:hint="eastAsia" w:ascii="仿宋_GB2312" w:eastAsia="仿宋_GB2312"/>
          <w:color w:val="auto"/>
          <w:kern w:val="0"/>
          <w:sz w:val="24"/>
          <w:szCs w:val="15"/>
          <w:highlight w:val="none"/>
        </w:rPr>
      </w:pPr>
      <w:r>
        <w:rPr>
          <w:rFonts w:hint="eastAsia" w:ascii="仿宋_GB2312" w:eastAsia="仿宋_GB2312"/>
          <w:color w:val="auto"/>
          <w:kern w:val="0"/>
          <w:sz w:val="24"/>
          <w:szCs w:val="15"/>
          <w:highlight w:val="none"/>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w:t>
      </w:r>
      <w:r>
        <w:rPr>
          <w:rFonts w:hint="eastAsia" w:ascii="仿宋_GB2312" w:eastAsia="仿宋_GB2312"/>
          <w:color w:val="auto"/>
          <w:kern w:val="0"/>
          <w:sz w:val="24"/>
          <w:szCs w:val="15"/>
          <w:highlight w:val="none"/>
          <w:lang w:val="en-US" w:eastAsia="zh-CN"/>
        </w:rPr>
        <w:t>供应商公</w:t>
      </w:r>
      <w:r>
        <w:rPr>
          <w:rFonts w:hint="eastAsia" w:ascii="仿宋_GB2312" w:eastAsia="仿宋_GB2312"/>
          <w:color w:val="auto"/>
          <w:kern w:val="0"/>
          <w:sz w:val="24"/>
          <w:szCs w:val="15"/>
          <w:highlight w:val="none"/>
        </w:rPr>
        <w:t>章）；</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.承诺函（格式详见附件1）</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.与中国工程物理研究院职工关联关系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非资格条件证明文件</w:t>
      </w:r>
      <w:r>
        <w:rPr>
          <w:rFonts w:hint="eastAsia" w:ascii="仿宋_GB2312" w:eastAsia="仿宋_GB2312"/>
          <w:color w:val="auto"/>
          <w:sz w:val="32"/>
          <w:szCs w:val="32"/>
          <w:highlight w:val="none"/>
          <w:lang w:eastAsia="zh-CN"/>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供应商的股东或实际控制人、重要任职人员中有中物院职工及其家庭成员、主要社会关系人的应说明（书面说明格式详见附件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和附表A）；若供应商的股东或实际控制人、重要任职人员中没有院职工及其家庭成员、主要社会关系人的应说明（书面说明格式详见附件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480" w:firstLineChars="200"/>
        <w:textAlignment w:val="auto"/>
        <w:rPr>
          <w:rFonts w:hint="eastAsia" w:ascii="宋体"/>
          <w:color w:val="auto"/>
          <w:kern w:val="0"/>
          <w:sz w:val="24"/>
          <w:szCs w:val="15"/>
          <w:highlight w:val="none"/>
        </w:rPr>
      </w:pPr>
      <w:r>
        <w:rPr>
          <w:rFonts w:hint="eastAsia" w:ascii="仿宋_GB2312" w:eastAsia="仿宋_GB2312"/>
          <w:color w:val="auto"/>
          <w:kern w:val="0"/>
          <w:sz w:val="24"/>
          <w:szCs w:val="15"/>
          <w:highlight w:val="none"/>
        </w:rPr>
        <w:t>注：若供应商存在供应商的股东或实际控制人、重要任职人员中若有院职工及其家庭成员、主要社会关系人等情况的，但未提供说明函的，则视为供应商虚假承诺，按虚假承诺进行处罚。</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法定代</w:t>
      </w:r>
      <w:r>
        <w:rPr>
          <w:rFonts w:hint="eastAsia" w:ascii="仿宋_GB2312" w:hAnsi="仿宋_GB2312" w:eastAsia="仿宋_GB2312" w:cs="仿宋_GB2312"/>
          <w:color w:val="auto"/>
          <w:sz w:val="32"/>
          <w:szCs w:val="32"/>
          <w:highlight w:val="none"/>
        </w:rPr>
        <w:t>表人/负责人授权书原件(法定代表人/负责人签署响应文件时不需要提供授权书，但须提供法定代表人/负责人身份证明）加盖</w:t>
      </w:r>
      <w:r>
        <w:rPr>
          <w:rFonts w:hint="eastAsia" w:ascii="仿宋_GB2312" w:hAnsi="仿宋_GB2312" w:eastAsia="仿宋_GB2312" w:cs="仿宋_GB2312"/>
          <w:color w:val="auto"/>
          <w:sz w:val="32"/>
          <w:szCs w:val="32"/>
          <w:highlight w:val="none"/>
          <w:lang w:val="en-US" w:eastAsia="zh-CN"/>
        </w:rPr>
        <w:t>供应商公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提供</w:t>
      </w:r>
      <w:r>
        <w:rPr>
          <w:rFonts w:hint="eastAsia" w:ascii="仿宋_GB2312" w:hAnsi="仿宋_GB2312" w:eastAsia="仿宋_GB2312" w:cs="仿宋_GB2312"/>
          <w:color w:val="auto"/>
          <w:kern w:val="0"/>
          <w:sz w:val="32"/>
          <w:szCs w:val="32"/>
          <w:highlight w:val="none"/>
          <w:shd w:val="clear" w:color="auto" w:fill="FFFFFF"/>
          <w:lang w:val="en-US" w:eastAsia="zh-CN"/>
        </w:rPr>
        <w:t>在“全国投资项目在线审批监管平台”中的工程咨询单位名录内（备案专业含建筑专业），具有所申请专业的乙级及以上资信等级，或具有乙级及以上综合资信等级截</w:t>
      </w:r>
      <w:r>
        <w:rPr>
          <w:rFonts w:hint="eastAsia" w:ascii="仿宋_GB2312" w:hAnsi="仿宋_GB2312" w:eastAsia="仿宋_GB2312" w:cs="仿宋_GB2312"/>
          <w:color w:val="auto"/>
          <w:sz w:val="32"/>
          <w:szCs w:val="32"/>
          <w:highlight w:val="none"/>
          <w:lang w:val="zh-CN"/>
        </w:rPr>
        <w:t>图加盖公章</w:t>
      </w:r>
      <w:r>
        <w:rPr>
          <w:rFonts w:hint="eastAsia" w:ascii="仿宋_GB2312" w:hAnsi="仿宋_GB2312" w:eastAsia="仿宋_GB2312" w:cs="仿宋_GB2312"/>
          <w:color w:val="auto"/>
          <w:kern w:val="0"/>
          <w:sz w:val="32"/>
          <w:szCs w:val="32"/>
          <w:highlight w:val="none"/>
          <w:shd w:val="clear" w:color="auto" w:fill="FFFFFF"/>
          <w:lang w:val="en-US" w:eastAsia="zh-CN"/>
        </w:rPr>
        <w:t>。</w:t>
      </w:r>
    </w:p>
    <w:p>
      <w:pPr>
        <w:pStyle w:val="163"/>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color w:val="auto"/>
          <w:highlight w:val="none"/>
          <w:lang w:eastAsia="zh-CN"/>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提供股东构成及持股比例证明材料（可提供备案公司章程</w:t>
      </w:r>
      <w:r>
        <w:rPr>
          <w:rFonts w:hint="eastAsia" w:ascii="仿宋_GB2312" w:hAnsi="仿宋_GB2312" w:eastAsia="仿宋_GB2312" w:cs="仿宋_GB2312"/>
          <w:color w:val="auto"/>
          <w:kern w:val="2"/>
          <w:sz w:val="32"/>
          <w:szCs w:val="32"/>
          <w:highlight w:val="none"/>
          <w:lang w:val="en-US" w:eastAsia="zh-CN" w:bidi="ar-SA"/>
        </w:rPr>
        <w:t>复印件</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加盖公章</w:t>
      </w:r>
      <w:r>
        <w:rPr>
          <w:rFonts w:hint="eastAsia" w:ascii="仿宋_GB2312" w:hAnsi="仿宋_GB2312" w:eastAsia="仿宋_GB2312" w:cs="仿宋_GB2312"/>
          <w:color w:val="auto"/>
          <w:kern w:val="2"/>
          <w:sz w:val="32"/>
          <w:szCs w:val="32"/>
          <w:highlight w:val="none"/>
          <w:lang w:val="zh-CN" w:eastAsia="zh-CN" w:bidi="ar-SA"/>
        </w:rPr>
        <w:t>。</w:t>
      </w:r>
    </w:p>
    <w:p>
      <w:pPr>
        <w:pStyle w:val="163"/>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二．采购需求及要求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fldChar w:fldCharType="begin"/>
      </w:r>
      <w:r>
        <w:rPr>
          <w:rFonts w:hint="eastAsia" w:ascii="仿宋_GB2312" w:hAnsi="仿宋_GB2312" w:eastAsia="仿宋_GB2312" w:cs="仿宋_GB2312"/>
          <w:color w:val="auto"/>
          <w:kern w:val="0"/>
          <w:sz w:val="32"/>
          <w:szCs w:val="32"/>
          <w:highlight w:val="none"/>
          <w:shd w:val="clear" w:color="auto" w:fill="FFFFFF"/>
          <w:lang w:val="en-US" w:eastAsia="zh-CN"/>
        </w:rPr>
        <w:instrText xml:space="preserve"> = 1 \* GB4 \* MERGEFORMAT </w:instrTex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separate"/>
      </w:r>
      <w:r>
        <w:rPr>
          <w:rFonts w:hint="eastAsia" w:ascii="仿宋_GB2312" w:hAnsi="仿宋_GB2312" w:eastAsia="仿宋_GB2312" w:cs="仿宋_GB2312"/>
          <w:color w:val="auto"/>
          <w:kern w:val="0"/>
          <w:sz w:val="32"/>
          <w:szCs w:val="32"/>
          <w:highlight w:val="none"/>
          <w:shd w:val="clear" w:color="auto" w:fill="FFFFFF"/>
          <w:lang w:val="en-US" w:eastAsia="zh-CN"/>
        </w:rPr>
        <w:t>㈠</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end"/>
      </w:r>
      <w:r>
        <w:rPr>
          <w:rFonts w:hint="eastAsia" w:ascii="仿宋_GB2312" w:hAnsi="仿宋_GB2312" w:eastAsia="仿宋_GB2312" w:cs="仿宋_GB2312"/>
          <w:color w:val="auto"/>
          <w:kern w:val="0"/>
          <w:sz w:val="32"/>
          <w:szCs w:val="32"/>
          <w:highlight w:val="none"/>
          <w:shd w:val="clear" w:color="auto" w:fill="FFFFFF"/>
          <w:lang w:val="en-US" w:eastAsia="zh-CN"/>
        </w:rPr>
        <w:t>采购需求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1.完成华丰1-4区、绵办、成都干休所-2（半节巷）共六个小区的公共区域配套基础设施改造项目可行性研究报告编制。</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2.本次采购按照华丰一区等六个老旧小区配套基础设施改造项目分别列举，六个小区合订编制可行性研究报告。</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fldChar w:fldCharType="begin"/>
      </w:r>
      <w:r>
        <w:rPr>
          <w:rFonts w:hint="eastAsia" w:ascii="仿宋_GB2312" w:hAnsi="仿宋_GB2312" w:eastAsia="仿宋_GB2312" w:cs="仿宋_GB2312"/>
          <w:color w:val="auto"/>
          <w:kern w:val="0"/>
          <w:sz w:val="32"/>
          <w:szCs w:val="32"/>
          <w:highlight w:val="none"/>
          <w:shd w:val="clear" w:color="auto" w:fill="FFFFFF"/>
          <w:lang w:val="en-US" w:eastAsia="zh-CN"/>
        </w:rPr>
        <w:instrText xml:space="preserve"> = 2 \* GB4 \* MERGEFORMAT </w:instrTex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separate"/>
      </w:r>
      <w:r>
        <w:rPr>
          <w:rFonts w:hint="eastAsia" w:ascii="仿宋_GB2312" w:hAnsi="仿宋_GB2312" w:eastAsia="仿宋_GB2312" w:cs="仿宋_GB2312"/>
          <w:color w:val="auto"/>
          <w:kern w:val="0"/>
          <w:sz w:val="32"/>
          <w:szCs w:val="32"/>
          <w:highlight w:val="none"/>
          <w:shd w:val="clear" w:color="auto" w:fill="FFFFFF"/>
          <w:lang w:val="en-US" w:eastAsia="zh-CN"/>
        </w:rPr>
        <w:t>㈡</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end"/>
      </w:r>
      <w:r>
        <w:rPr>
          <w:rFonts w:hint="eastAsia" w:ascii="仿宋_GB2312" w:hAnsi="仿宋_GB2312" w:eastAsia="仿宋_GB2312" w:cs="仿宋_GB2312"/>
          <w:color w:val="auto"/>
          <w:kern w:val="0"/>
          <w:sz w:val="32"/>
          <w:szCs w:val="32"/>
          <w:highlight w:val="none"/>
          <w:shd w:val="clear" w:color="auto" w:fill="FFFFFF"/>
          <w:lang w:val="en-US" w:eastAsia="zh-CN"/>
        </w:rPr>
        <w:t>服务要求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1.供应商服务团队</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为便于咨询项目的顺利实施，供应商应固定项目负责人和服务团队，坚持科学准确、客观真实、合理合法的原则，在采购人要求的时间内完成可行性研究报告编制。积极响应采购人的服务需求，应采购人要求在12小时内到达现场，做好技术咨询服务工作，并随时接受采购人的监督管理。</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2.技术咨询质量</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符合国家现行有效的标准并满足采购人及使用人的正常需求。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3.服务内容</w:t>
      </w:r>
    </w:p>
    <w:p>
      <w:pPr>
        <w:tabs>
          <w:tab w:val="left" w:pos="420"/>
        </w:tabs>
        <w:snapToGrid w:val="0"/>
        <w:spacing w:line="560" w:lineRule="exact"/>
        <w:ind w:firstLine="640" w:firstLineChars="200"/>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主要包括可行性研究报告编制及相关的现状调查、意见征集、内容梳理、工程量测定、现场沟通，以及采购人要求开展的其他工作。</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fldChar w:fldCharType="begin"/>
      </w:r>
      <w:r>
        <w:rPr>
          <w:rFonts w:hint="eastAsia" w:ascii="仿宋_GB2312" w:hAnsi="仿宋_GB2312" w:eastAsia="仿宋_GB2312" w:cs="仿宋_GB2312"/>
          <w:color w:val="auto"/>
          <w:kern w:val="0"/>
          <w:sz w:val="32"/>
          <w:szCs w:val="32"/>
          <w:highlight w:val="none"/>
          <w:shd w:val="clear" w:color="auto" w:fill="FFFFFF"/>
          <w:lang w:val="en-US" w:eastAsia="zh-CN"/>
        </w:rPr>
        <w:instrText xml:space="preserve"> = 3 \* GB4 \* MERGEFORMAT </w:instrTex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separate"/>
      </w:r>
      <w:r>
        <w:rPr>
          <w:rFonts w:hint="eastAsia" w:ascii="仿宋_GB2312" w:hAnsi="仿宋_GB2312" w:eastAsia="仿宋_GB2312" w:cs="仿宋_GB2312"/>
          <w:color w:val="auto"/>
          <w:kern w:val="0"/>
          <w:sz w:val="32"/>
          <w:szCs w:val="32"/>
          <w:highlight w:val="none"/>
          <w:shd w:val="clear" w:color="auto" w:fill="FFFFFF"/>
          <w:lang w:val="en-US" w:eastAsia="zh-CN"/>
        </w:rPr>
        <w:t>㈢</w:t>
      </w:r>
      <w:r>
        <w:rPr>
          <w:rFonts w:hint="eastAsia" w:ascii="仿宋_GB2312" w:hAnsi="仿宋_GB2312" w:eastAsia="仿宋_GB2312" w:cs="仿宋_GB2312"/>
          <w:color w:val="auto"/>
          <w:kern w:val="0"/>
          <w:sz w:val="32"/>
          <w:szCs w:val="32"/>
          <w:highlight w:val="none"/>
          <w:shd w:val="clear" w:color="auto" w:fill="FFFFFF"/>
          <w:lang w:val="en-US" w:eastAsia="zh-CN"/>
        </w:rPr>
        <w:fldChar w:fldCharType="end"/>
      </w:r>
      <w:r>
        <w:rPr>
          <w:rFonts w:hint="eastAsia" w:ascii="仿宋_GB2312" w:hAnsi="仿宋_GB2312" w:eastAsia="仿宋_GB2312" w:cs="仿宋_GB2312"/>
          <w:color w:val="auto"/>
          <w:kern w:val="0"/>
          <w:sz w:val="32"/>
          <w:szCs w:val="32"/>
          <w:highlight w:val="none"/>
          <w:shd w:val="clear" w:color="auto" w:fill="FFFFFF"/>
          <w:lang w:val="en-US" w:eastAsia="zh-CN"/>
        </w:rPr>
        <w:t>商务要求</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1.服务期限</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自合同签订之日起至可行性研究报告编制结束。</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自接到采购人工作任务后，60日内完成可行性研究报告编制。</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2.成果形式</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提供可行性研究报告纸质版一式五份（彩打）及电子版各一份（Word和PDF）。</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3.验收：审批部门委托第三方咨询机构进行评估，对文本的质量和深度进行验收。</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4.付款方式</w:t>
      </w:r>
    </w:p>
    <w:p>
      <w:pPr>
        <w:tabs>
          <w:tab w:val="left" w:pos="420"/>
        </w:tabs>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可行性研究报告批复完成，并提交相关成果后15日内支付合同价款。</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三、报价</w:t>
      </w:r>
      <w:r>
        <w:rPr>
          <w:rFonts w:hint="eastAsia" w:ascii="仿宋_GB2312" w:hAnsi="仿宋_GB2312" w:eastAsia="仿宋_GB2312" w:cs="仿宋_GB2312"/>
          <w:color w:val="auto"/>
          <w:sz w:val="32"/>
          <w:szCs w:val="32"/>
          <w:highlight w:val="none"/>
        </w:rPr>
        <w:t>（格式详见附件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报价要求：请供应商一次性报出最优惠的价格，报价应包括完成该项目的所有费用。若评审组对供应商的报价提出异议，采购单位保留再次比价的权利。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本报价有效期为自报价截止之日起90日。报价有效期满之前均具有约束力。</w:t>
      </w:r>
    </w:p>
    <w:p>
      <w:pPr>
        <w:pStyle w:val="3"/>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Times New Roman"/>
          <w:color w:val="auto"/>
          <w:kern w:val="2"/>
          <w:sz w:val="32"/>
          <w:szCs w:val="32"/>
          <w:highlight w:val="none"/>
          <w:lang w:val="en-US" w:eastAsia="zh-CN" w:bidi="ar-SA"/>
        </w:rPr>
        <w:t>四、服务方案及承诺</w:t>
      </w:r>
      <w:r>
        <w:rPr>
          <w:rFonts w:hint="eastAsia" w:ascii="仿宋_GB2312" w:hAnsi="仿宋_GB2312" w:eastAsia="仿宋_GB2312" w:cs="仿宋_GB2312"/>
          <w:color w:val="auto"/>
          <w:sz w:val="32"/>
          <w:szCs w:val="32"/>
          <w:highlight w:val="none"/>
          <w:lang w:val="en-US" w:eastAsia="zh-CN"/>
        </w:rPr>
        <w:t>（根据服务需求及要求编制服务方案及承诺，格式自拟）</w:t>
      </w:r>
    </w:p>
    <w:p>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㈠供应商应按要求准备响应文件正本1份、副本2份,电子文档1份（光盘或U盘），电子文档应包括与响应文件原件一致的WORD版本和响应文件正本原件的扫描件。响应文件的正本和副本应在其封面右上角清楚地标明“正本”或“副本”字样。若正本和副本有不一致的内容，以正本书面响应文件为准。</w:t>
      </w:r>
      <w:r>
        <w:rPr>
          <w:rFonts w:hint="eastAsia" w:ascii="仿宋_GB2312" w:hAnsi="仿宋_GB2312" w:eastAsia="仿宋_GB2312" w:cs="仿宋_GB2312"/>
          <w:bCs/>
          <w:sz w:val="32"/>
          <w:szCs w:val="32"/>
          <w:highlight w:val="none"/>
        </w:rPr>
        <w:t>当电子版响应文件与纸质版响应文件不一致时，以纸质版响应文件为准。</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㈡响应文件的正本和副本均需打印或用不褪色、不变质</w:t>
      </w:r>
      <w:r>
        <w:rPr>
          <w:rFonts w:hint="eastAsia" w:ascii="仿宋_GB2312" w:hAnsi="仿宋_GB2312" w:eastAsia="仿宋_GB2312" w:cs="仿宋_GB2312"/>
          <w:bCs/>
          <w:sz w:val="32"/>
          <w:szCs w:val="32"/>
        </w:rPr>
        <w:t>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。响应文件副本可采用正本的复印件。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㈣响应文件正本和副本采取胶装方式装订成册，不得散装或者合页装订。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评审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㈠</w:t>
      </w:r>
      <w:r>
        <w:rPr>
          <w:rFonts w:hint="eastAsia" w:ascii="仿宋_GB2312" w:hAnsi="仿宋_GB2312" w:eastAsia="仿宋_GB2312" w:cs="仿宋_GB2312"/>
          <w:color w:val="auto"/>
          <w:sz w:val="32"/>
          <w:szCs w:val="32"/>
          <w:highlight w:val="none"/>
        </w:rPr>
        <w:t>收到比价响应文件后，采购单位组织比价小组评审，</w:t>
      </w:r>
      <w:r>
        <w:rPr>
          <w:rFonts w:hint="eastAsia" w:ascii="仿宋_GB2312" w:hAnsi="仿宋_GB2312" w:eastAsia="仿宋_GB2312" w:cs="仿宋_GB2312"/>
          <w:color w:val="auto"/>
          <w:sz w:val="32"/>
          <w:szCs w:val="32"/>
          <w:highlight w:val="none"/>
          <w:lang w:val="en-US" w:eastAsia="zh-CN"/>
        </w:rPr>
        <w:t>成交原则：满足采购需求，报价最低者为成交候选供应商。采购人</w:t>
      </w:r>
      <w:r>
        <w:rPr>
          <w:rFonts w:hint="eastAsia" w:ascii="仿宋_GB2312" w:hAnsi="仿宋_GB2312" w:eastAsia="仿宋_GB2312" w:cs="仿宋_GB2312"/>
          <w:color w:val="auto"/>
          <w:sz w:val="32"/>
          <w:szCs w:val="32"/>
          <w:highlight w:val="none"/>
        </w:rPr>
        <w:t>确定成交供应商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pacing w:val="-6"/>
          <w:sz w:val="32"/>
          <w:szCs w:val="32"/>
          <w:highlight w:val="none"/>
        </w:rPr>
        <w:t>其发出成交通知（书面或电话），成交供应商须在规定时间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30日内</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内与采购人签订采购合同。</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596"/>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㈡</w:t>
      </w:r>
      <w:r>
        <w:rPr>
          <w:rFonts w:hint="eastAsia" w:ascii="仿宋_GB2312" w:hAnsi="仿宋_GB2312" w:eastAsia="仿宋_GB2312" w:cs="仿宋_GB2312"/>
          <w:color w:val="auto"/>
          <w:spacing w:val="-11"/>
          <w:sz w:val="32"/>
          <w:szCs w:val="32"/>
          <w:highlight w:val="none"/>
        </w:rPr>
        <w:t>出现下列情形之一的，应当终止调研比价活动，重新开展调研比价：</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因情况变化，不再符合规定的调研比价方式适用情形的；</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出现影响调研比价公正的违法、违规行为的；</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4.评审小组认为响应供应商报价或其他原因</w:t>
      </w:r>
      <w:r>
        <w:rPr>
          <w:rFonts w:hint="eastAsia" w:ascii="仿宋_GB2312" w:hAnsi="仿宋_GB2312" w:eastAsia="仿宋_GB2312" w:cs="仿宋_GB2312"/>
          <w:color w:val="auto"/>
          <w:sz w:val="32"/>
          <w:szCs w:val="32"/>
          <w:highlight w:val="none"/>
        </w:rPr>
        <w:t>无法保证项目质量的</w:t>
      </w:r>
      <w:r>
        <w:rPr>
          <w:rFonts w:hint="eastAsia" w:ascii="仿宋_GB2312" w:hAnsi="仿宋_GB2312" w:eastAsia="仿宋_GB2312" w:cs="仿宋_GB2312"/>
          <w:color w:val="auto"/>
          <w:sz w:val="32"/>
          <w:szCs w:val="32"/>
          <w:highlight w:val="none"/>
          <w:lang w:eastAsia="zh-CN"/>
        </w:rPr>
        <w:t>。</w:t>
      </w:r>
    </w:p>
    <w:p>
      <w:pPr>
        <w:pStyle w:val="163"/>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㈢</w:t>
      </w:r>
      <w:r>
        <w:rPr>
          <w:rFonts w:hint="eastAsia" w:ascii="仿宋_GB2312" w:hAnsi="Calibri" w:eastAsia="仿宋_GB2312" w:cs="Times New Roman"/>
          <w:color w:val="auto"/>
          <w:spacing w:val="-11"/>
          <w:kern w:val="2"/>
          <w:sz w:val="32"/>
          <w:szCs w:val="32"/>
          <w:highlight w:val="none"/>
          <w:lang w:val="en-US" w:eastAsia="zh-CN" w:bidi="ar-SA"/>
        </w:rPr>
        <w:t>本项目采用最低价法进行评审。</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七、采购文件获取及确认</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请贵公司于202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年</w:t>
      </w:r>
      <w:r>
        <w:rPr>
          <w:rFonts w:hint="eastAsia" w:ascii="仿宋_GB2312" w:eastAsia="仿宋_GB2312" w:cs="Times New Roman"/>
          <w:color w:val="auto"/>
          <w:kern w:val="2"/>
          <w:sz w:val="32"/>
          <w:szCs w:val="32"/>
          <w:highlight w:val="none"/>
          <w:lang w:val="en-US" w:eastAsia="zh-CN" w:bidi="ar-SA"/>
        </w:rPr>
        <w:t>4</w:t>
      </w:r>
      <w:r>
        <w:rPr>
          <w:rFonts w:hint="eastAsia" w:ascii="仿宋_GB2312" w:hAnsi="Times New Roman" w:eastAsia="仿宋_GB2312" w:cs="Times New Roman"/>
          <w:color w:val="auto"/>
          <w:kern w:val="2"/>
          <w:sz w:val="32"/>
          <w:szCs w:val="32"/>
          <w:highlight w:val="none"/>
          <w:lang w:val="en-US" w:eastAsia="zh-CN" w:bidi="ar-SA"/>
        </w:rPr>
        <w:t>月</w:t>
      </w:r>
      <w:r>
        <w:rPr>
          <w:rFonts w:hint="eastAsia" w:ascii="仿宋_GB2312" w:eastAsia="仿宋_GB2312" w:cs="Times New Roman"/>
          <w:color w:val="auto"/>
          <w:kern w:val="2"/>
          <w:sz w:val="32"/>
          <w:szCs w:val="32"/>
          <w:highlight w:val="none"/>
          <w:lang w:val="en-US" w:eastAsia="zh-CN" w:bidi="ar-SA"/>
        </w:rPr>
        <w:t>28</w:t>
      </w:r>
      <w:r>
        <w:rPr>
          <w:rFonts w:hint="eastAsia" w:ascii="仿宋_GB2312" w:hAnsi="Times New Roman" w:eastAsia="仿宋_GB2312" w:cs="Times New Roman"/>
          <w:color w:val="auto"/>
          <w:kern w:val="2"/>
          <w:sz w:val="32"/>
          <w:szCs w:val="32"/>
          <w:highlight w:val="none"/>
          <w:lang w:val="en-US" w:eastAsia="zh-CN" w:bidi="ar-SA"/>
        </w:rPr>
        <w:t>日</w:t>
      </w:r>
      <w:r>
        <w:rPr>
          <w:rFonts w:hint="eastAsia" w:ascii="仿宋_GB2312" w:eastAsia="仿宋_GB2312" w:cs="Times New Roman"/>
          <w:color w:val="auto"/>
          <w:kern w:val="2"/>
          <w:sz w:val="32"/>
          <w:szCs w:val="32"/>
          <w:highlight w:val="none"/>
          <w:lang w:val="en-US" w:eastAsia="zh-CN" w:bidi="ar-SA"/>
        </w:rPr>
        <w:t>上</w:t>
      </w:r>
      <w:r>
        <w:rPr>
          <w:rFonts w:hint="eastAsia" w:ascii="仿宋_GB2312" w:hAnsi="Times New Roman" w:eastAsia="仿宋_GB2312" w:cs="Times New Roman"/>
          <w:color w:val="auto"/>
          <w:kern w:val="2"/>
          <w:sz w:val="32"/>
          <w:szCs w:val="32"/>
          <w:highlight w:val="none"/>
          <w:lang w:val="en-US" w:eastAsia="zh-CN" w:bidi="ar-SA"/>
        </w:rPr>
        <w:t>午1</w:t>
      </w:r>
      <w:r>
        <w:rPr>
          <w:rFonts w:hint="eastAsia" w:ascii="仿宋_GB2312" w:eastAsia="仿宋_GB2312" w:cs="Times New Roman"/>
          <w:color w:val="auto"/>
          <w:kern w:val="2"/>
          <w:sz w:val="32"/>
          <w:szCs w:val="32"/>
          <w:highlight w:val="none"/>
          <w:lang w:val="en-US" w:eastAsia="zh-CN" w:bidi="ar-SA"/>
        </w:rPr>
        <w:t>1</w:t>
      </w:r>
      <w:r>
        <w:rPr>
          <w:rFonts w:hint="eastAsia" w:ascii="仿宋_GB2312" w:hAnsi="Times New Roman" w:eastAsia="仿宋_GB2312" w:cs="Times New Roman"/>
          <w:color w:val="auto"/>
          <w:kern w:val="2"/>
          <w:sz w:val="32"/>
          <w:szCs w:val="32"/>
          <w:highlight w:val="none"/>
          <w:lang w:val="en-US" w:eastAsia="zh-CN" w:bidi="ar-SA"/>
        </w:rPr>
        <w:t>:00前将是否参加比价的《确认函》（格式详见附件）以邮件形式回复。邮箱：ggb</w:t>
      </w:r>
      <w:r>
        <w:rPr>
          <w:rFonts w:hint="eastAsia" w:ascii="仿宋_GB2312" w:eastAsia="仿宋_GB2312" w:cs="Times New Roman"/>
          <w:color w:val="auto"/>
          <w:kern w:val="2"/>
          <w:sz w:val="32"/>
          <w:szCs w:val="32"/>
          <w:highlight w:val="none"/>
          <w:lang w:val="en-US" w:eastAsia="zh-CN" w:bidi="ar-SA"/>
        </w:rPr>
        <w:t>bz</w:t>
      </w:r>
      <w:r>
        <w:rPr>
          <w:rFonts w:hint="eastAsia" w:ascii="仿宋_GB2312" w:hAnsi="Times New Roman" w:eastAsia="仿宋_GB2312" w:cs="Times New Roman"/>
          <w:color w:val="auto"/>
          <w:kern w:val="2"/>
          <w:sz w:val="32"/>
          <w:szCs w:val="32"/>
          <w:highlight w:val="none"/>
          <w:lang w:val="en-US" w:eastAsia="zh-CN" w:bidi="ar-SA"/>
        </w:rPr>
        <w:t>zx@163.com。</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color w:val="auto"/>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比价响应资料递交方式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请贵公司在202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s="Times New Roman"/>
          <w:color w:val="auto"/>
          <w:kern w:val="2"/>
          <w:sz w:val="32"/>
          <w:szCs w:val="32"/>
          <w:highlight w:val="none"/>
          <w:lang w:val="en-US" w:eastAsia="zh-CN" w:bidi="ar-SA"/>
        </w:rPr>
        <w:t>4月29</w:t>
      </w:r>
      <w:r>
        <w:rPr>
          <w:rFonts w:hint="eastAsia" w:ascii="仿宋_GB2312" w:eastAsia="仿宋_GB2312" w:cs="Times New Roman"/>
          <w:color w:val="auto"/>
          <w:kern w:val="2"/>
          <w:sz w:val="32"/>
          <w:szCs w:val="32"/>
          <w:highlight w:val="none"/>
          <w:lang w:val="en-US" w:eastAsia="zh-CN" w:bidi="ar-SA"/>
        </w:rPr>
        <w:t>日下</w:t>
      </w:r>
      <w:r>
        <w:rPr>
          <w:rFonts w:hint="eastAsia" w:ascii="仿宋_GB2312" w:eastAsia="仿宋_GB2312"/>
          <w:color w:val="auto"/>
          <w:sz w:val="32"/>
          <w:szCs w:val="32"/>
          <w:highlight w:val="none"/>
          <w:lang w:val="en-US" w:eastAsia="zh-CN"/>
        </w:rPr>
        <w:t>午</w:t>
      </w:r>
      <w:r>
        <w:rPr>
          <w:rFonts w:hint="eastAsia" w:ascii="仿宋_GB2312" w:hAnsi="Times New Roman" w:eastAsia="仿宋_GB2312" w:cs="Times New Roman"/>
          <w:color w:val="auto"/>
          <w:kern w:val="2"/>
          <w:sz w:val="32"/>
          <w:szCs w:val="32"/>
          <w:highlight w:val="none"/>
          <w:lang w:val="en-US" w:eastAsia="zh-CN" w:bidi="ar-SA"/>
        </w:rPr>
        <w:t>1</w:t>
      </w:r>
      <w:r>
        <w:rPr>
          <w:rFonts w:hint="default" w:ascii="仿宋_GB2312" w:eastAsia="仿宋_GB2312" w:cs="Times New Roman"/>
          <w:color w:val="auto"/>
          <w:kern w:val="2"/>
          <w:sz w:val="32"/>
          <w:szCs w:val="32"/>
          <w:highlight w:val="none"/>
          <w:lang w:val="en-US" w:eastAsia="zh-CN" w:bidi="ar-SA"/>
        </w:rPr>
        <w:t>5</w:t>
      </w:r>
      <w:r>
        <w:rPr>
          <w:rFonts w:hint="eastAsia" w:ascii="仿宋_GB2312" w:eastAsia="仿宋_GB2312" w:cs="Times New Roman"/>
          <w:color w:val="auto"/>
          <w:kern w:val="2"/>
          <w:sz w:val="32"/>
          <w:szCs w:val="32"/>
          <w:highlight w:val="none"/>
          <w:lang w:val="en-US" w:eastAsia="zh-CN" w:bidi="ar-SA"/>
        </w:rPr>
        <w:t>:00</w:t>
      </w:r>
      <w:r>
        <w:rPr>
          <w:rFonts w:hint="eastAsia" w:ascii="仿宋_GB2312" w:eastAsia="仿宋_GB2312"/>
          <w:color w:val="auto"/>
          <w:sz w:val="32"/>
          <w:szCs w:val="32"/>
          <w:highlight w:val="none"/>
        </w:rPr>
        <w:t>前将比价响应资料</w:t>
      </w:r>
      <w:bookmarkStart w:id="0" w:name="_GoBack"/>
      <w:bookmarkEnd w:id="0"/>
      <w:r>
        <w:rPr>
          <w:rFonts w:hint="eastAsia" w:ascii="仿宋_GB2312" w:eastAsia="仿宋_GB2312"/>
          <w:color w:val="auto"/>
          <w:sz w:val="32"/>
          <w:szCs w:val="32"/>
          <w:highlight w:val="none"/>
        </w:rPr>
        <w:t>密封送达至科学城办事处办公大楼</w:t>
      </w:r>
      <w:r>
        <w:rPr>
          <w:rFonts w:hint="eastAsia" w:ascii="仿宋_GB2312" w:eastAsia="仿宋_GB2312"/>
          <w:color w:val="auto"/>
          <w:sz w:val="32"/>
          <w:szCs w:val="32"/>
          <w:highlight w:val="none"/>
          <w:lang w:val="en-US" w:eastAsia="zh-CN"/>
        </w:rPr>
        <w:t>大门口</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徐</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3261</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3"/>
        <w:ind w:firstLine="642" w:firstLineChars="200"/>
        <w:rPr>
          <w:rFonts w:hint="default" w:ascii="仿宋_GB2312" w:eastAsia="仿宋_GB2312" w:cs="Times New Roman"/>
          <w:b/>
          <w:bCs/>
          <w:color w:val="auto"/>
          <w:kern w:val="2"/>
          <w:sz w:val="32"/>
          <w:szCs w:val="32"/>
          <w:highlight w:val="none"/>
          <w:lang w:val="en-US" w:eastAsia="zh-CN" w:bidi="ar-SA"/>
        </w:rPr>
      </w:pPr>
      <w:r>
        <w:rPr>
          <w:rFonts w:hint="eastAsia" w:ascii="仿宋_GB2312" w:eastAsia="仿宋_GB2312" w:cs="Times New Roman"/>
          <w:b/>
          <w:bCs/>
          <w:color w:val="auto"/>
          <w:kern w:val="2"/>
          <w:sz w:val="32"/>
          <w:szCs w:val="32"/>
          <w:highlight w:val="none"/>
          <w:lang w:val="en-US" w:eastAsia="zh-CN" w:bidi="ar-SA"/>
        </w:rPr>
        <w:t>绵阳市城区外和科学城辖区外的供应商请邮寄。</w:t>
      </w:r>
    </w:p>
    <w:p>
      <w:pPr>
        <w:pStyle w:val="3"/>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邮寄地点：</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徐</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3261</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7"/>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7"/>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3"/>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3"/>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4"/>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6"/>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pStyle w:val="17"/>
        <w:keepNext w:val="0"/>
        <w:keepLines w:val="0"/>
        <w:pageBreakBefore w:val="0"/>
        <w:kinsoku/>
        <w:wordWrap/>
        <w:overflowPunct/>
        <w:topLinePunct w:val="0"/>
        <w:autoSpaceDE/>
        <w:autoSpaceDN/>
        <w:bidi w:val="0"/>
        <w:adjustRightInd/>
        <w:spacing w:after="0" w:line="560" w:lineRule="exact"/>
        <w:ind w:left="0" w:leftChars="0" w:firstLine="0" w:firstLineChars="0"/>
        <w:jc w:val="center"/>
        <w:textAlignment w:val="auto"/>
        <w:rPr>
          <w:rFonts w:hint="default" w:ascii="黑体" w:hAnsi="黑体" w:eastAsia="黑体" w:cs="黑体"/>
          <w:color w:val="auto"/>
          <w:sz w:val="32"/>
          <w:szCs w:val="32"/>
          <w:highlight w:val="none"/>
          <w:lang w:val="en-US" w:eastAsia="zh-CN"/>
        </w:rPr>
      </w:pPr>
      <w:r>
        <w:rPr>
          <w:rFonts w:ascii="Arial" w:hAnsi="Arial" w:cs="Arial"/>
          <w:b/>
          <w:color w:val="auto"/>
          <w:sz w:val="28"/>
          <w:szCs w:val="28"/>
          <w:highlight w:val="none"/>
        </w:rPr>
        <w:t>报价一览表</w:t>
      </w:r>
    </w:p>
    <w:tbl>
      <w:tblPr>
        <w:tblStyle w:val="18"/>
        <w:tblW w:w="75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59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1626"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项目名称</w:t>
            </w:r>
          </w:p>
        </w:tc>
        <w:tc>
          <w:tcPr>
            <w:tcW w:w="5920"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项目编号</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eastAsia="宋体" w:cs="Arial"/>
                <w:color w:val="auto"/>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供应商全称</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报价（元）</w:t>
            </w: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default" w:ascii="Arial" w:hAnsi="Arial" w:cs="Arial"/>
                <w:color w:val="auto"/>
                <w:highlight w:val="none"/>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项目完成期限</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both"/>
              <w:rPr>
                <w:rFonts w:hint="default" w:ascii="Arial" w:hAnsi="Arial" w:eastAsia="宋体" w:cs="Arial"/>
                <w:color w:val="auto"/>
                <w:szCs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hint="eastAsia" w:cs="宋体"/>
                <w:color w:val="auto"/>
                <w:highlight w:val="none"/>
                <w:lang w:val="en-US" w:eastAsia="zh-CN"/>
              </w:rPr>
              <w:t>项目</w:t>
            </w:r>
            <w:r>
              <w:rPr>
                <w:rFonts w:hint="eastAsia" w:cs="宋体"/>
                <w:color w:val="auto"/>
                <w:highlight w:val="none"/>
              </w:rPr>
              <w:t>地点</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cs="Arial"/>
                <w:color w:val="auto"/>
                <w:highlight w:val="none"/>
                <w:lang w:val="en-US" w:eastAsia="zh-CN"/>
              </w:rPr>
            </w:pPr>
          </w:p>
          <w:p>
            <w:pPr>
              <w:wordWrap w:val="0"/>
              <w:snapToGrid w:val="0"/>
              <w:jc w:val="both"/>
              <w:rPr>
                <w:rFonts w:hint="default" w:ascii="Arial" w:hAnsi="Arial" w:eastAsia="宋体" w:cs="Arial"/>
                <w:color w:val="auto"/>
                <w:szCs w:val="24"/>
                <w:highlight w:val="none"/>
                <w:lang w:val="en-US" w:eastAsia="zh-CN"/>
              </w:rPr>
            </w:pPr>
            <w:r>
              <w:rPr>
                <w:rFonts w:hint="eastAsia" w:ascii="Arial" w:hAnsi="Arial" w:cs="Arial"/>
                <w:color w:val="auto"/>
                <w:szCs w:val="24"/>
                <w:highlight w:val="none"/>
                <w:lang w:val="en-US" w:eastAsia="zh-CN"/>
              </w:rPr>
              <w:t>科学城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1626"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备注</w:t>
            </w:r>
          </w:p>
        </w:tc>
        <w:tc>
          <w:tcPr>
            <w:tcW w:w="5920"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Arial" w:hAnsi="Arial" w:cs="Arial"/>
                <w:color w:val="auto"/>
                <w:highlight w:val="none"/>
              </w:rPr>
            </w:pPr>
          </w:p>
        </w:tc>
      </w:tr>
    </w:tbl>
    <w:p>
      <w:pPr>
        <w:spacing w:line="400" w:lineRule="exact"/>
        <w:ind w:left="762" w:leftChars="213" w:hanging="315" w:hangingChars="150"/>
        <w:rPr>
          <w:rFonts w:ascii="Arial" w:hAnsi="Arial" w:cs="Arial"/>
          <w:color w:val="auto"/>
          <w:szCs w:val="24"/>
          <w:highlight w:val="none"/>
        </w:rPr>
      </w:pPr>
    </w:p>
    <w:p>
      <w:pPr>
        <w:rPr>
          <w:rFonts w:ascii="Arial" w:hAnsi="Arial" w:cs="Arial"/>
          <w:color w:val="auto"/>
          <w:szCs w:val="24"/>
          <w:highlight w:val="none"/>
        </w:rPr>
      </w:pPr>
    </w:p>
    <w:p>
      <w:pPr>
        <w:pStyle w:val="3"/>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注：1. 总报价应是完成本比价文件中所要求的全部内容的最终价格。</w:t>
      </w:r>
    </w:p>
    <w:p>
      <w:pPr>
        <w:pStyle w:val="3"/>
        <w:numPr>
          <w:ilvl w:val="0"/>
          <w:numId w:val="1"/>
        </w:numPr>
        <w:ind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请供应商一次性给出最优惠最终价格。</w:t>
      </w:r>
    </w:p>
    <w:p>
      <w:pPr>
        <w:pStyle w:val="3"/>
        <w:numPr>
          <w:ilvl w:val="0"/>
          <w:numId w:val="1"/>
        </w:numPr>
        <w:ind w:left="0" w:leftChars="0"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本报价有效期为自报价截止之日起90日。报价有效期满之前均具有约束力。</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供应商名称 （盖章）：</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法定代表人或授权代表（签字或签章）：</w:t>
      </w:r>
    </w:p>
    <w:p>
      <w:pPr>
        <w:pStyle w:val="3"/>
        <w:ind w:firstLine="420" w:firstLineChars="200"/>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t>报价日期：</w:t>
      </w:r>
    </w:p>
    <w:p>
      <w:pPr>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br w:type="page"/>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pStyle w:val="17"/>
        <w:spacing w:after="0" w:line="560" w:lineRule="exact"/>
        <w:ind w:firstLine="0" w:firstLineChars="0"/>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分项报价表</w:t>
      </w:r>
    </w:p>
    <w:p>
      <w:pPr>
        <w:snapToGrid w:val="0"/>
        <w:jc w:val="left"/>
        <w:rPr>
          <w:rFonts w:ascii="Arial" w:hAnsi="Arial" w:eastAsia="仿宋_GB2312" w:cs="Arial"/>
          <w:color w:val="auto"/>
          <w:highlight w:val="none"/>
        </w:rPr>
      </w:pPr>
      <w:r>
        <w:rPr>
          <w:rFonts w:ascii="Arial" w:hAnsi="Arial" w:eastAsia="仿宋_GB2312" w:cs="Arial"/>
          <w:color w:val="auto"/>
          <w:highlight w:val="none"/>
        </w:rPr>
        <w:t>项目名称：</w:t>
      </w:r>
      <w:r>
        <w:rPr>
          <w:rFonts w:hint="eastAsia" w:ascii="Arial" w:hAnsi="Arial" w:eastAsia="仿宋_GB2312" w:cs="Arial"/>
          <w:color w:val="auto"/>
          <w:highlight w:val="none"/>
        </w:rPr>
        <w:t xml:space="preserve">                                       </w:t>
      </w:r>
      <w:r>
        <w:rPr>
          <w:rFonts w:ascii="Arial" w:hAnsi="Arial" w:eastAsia="仿宋_GB2312" w:cs="Arial"/>
          <w:color w:val="auto"/>
          <w:highlight w:val="none"/>
        </w:rPr>
        <w:t xml:space="preserve"> 货币单位：人民币元</w:t>
      </w:r>
    </w:p>
    <w:tbl>
      <w:tblPr>
        <w:tblStyle w:val="18"/>
        <w:tblW w:w="85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75"/>
        <w:gridCol w:w="1362"/>
        <w:gridCol w:w="1362"/>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7" w:type="dxa"/>
            <w:noWrap w:val="0"/>
            <w:vAlign w:val="center"/>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序号</w:t>
            </w:r>
          </w:p>
        </w:tc>
        <w:tc>
          <w:tcPr>
            <w:tcW w:w="2575" w:type="dxa"/>
            <w:noWrap w:val="0"/>
            <w:vAlign w:val="center"/>
          </w:tcPr>
          <w:p>
            <w:pPr>
              <w:adjustRightInd w:val="0"/>
              <w:snapToGrid w:val="0"/>
              <w:jc w:val="center"/>
              <w:rPr>
                <w:rFonts w:hint="default" w:eastAsia="宋体" w:cs="Times New Roman"/>
                <w:color w:val="auto"/>
                <w:highlight w:val="none"/>
                <w:lang w:val="en-US" w:eastAsia="zh-CN"/>
              </w:rPr>
            </w:pPr>
            <w:r>
              <w:rPr>
                <w:rFonts w:hint="eastAsia" w:cs="Times New Roman"/>
                <w:color w:val="auto"/>
                <w:highlight w:val="none"/>
                <w:lang w:val="en-US" w:eastAsia="zh-CN"/>
              </w:rPr>
              <w:t>服务费构成名称</w:t>
            </w:r>
          </w:p>
        </w:tc>
        <w:tc>
          <w:tcPr>
            <w:tcW w:w="1362" w:type="dxa"/>
            <w:noWrap w:val="0"/>
            <w:vAlign w:val="top"/>
          </w:tcPr>
          <w:p>
            <w:pPr>
              <w:adjustRightInd w:val="0"/>
              <w:snapToGrid w:val="0"/>
              <w:jc w:val="center"/>
              <w:rPr>
                <w:rFonts w:hint="default" w:cs="宋体"/>
                <w:color w:val="auto"/>
                <w:highlight w:val="none"/>
                <w:lang w:val="en-US" w:eastAsia="zh-CN"/>
              </w:rPr>
            </w:pPr>
            <w:r>
              <w:rPr>
                <w:rFonts w:hint="eastAsia" w:cs="宋体"/>
                <w:color w:val="auto"/>
                <w:highlight w:val="none"/>
                <w:lang w:val="en-US" w:eastAsia="zh-CN"/>
              </w:rPr>
              <w:t>单价</w:t>
            </w:r>
          </w:p>
        </w:tc>
        <w:tc>
          <w:tcPr>
            <w:tcW w:w="1362" w:type="dxa"/>
            <w:noWrap w:val="0"/>
            <w:vAlign w:val="top"/>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数量</w:t>
            </w:r>
          </w:p>
        </w:tc>
        <w:tc>
          <w:tcPr>
            <w:tcW w:w="2326" w:type="dxa"/>
            <w:noWrap w:val="0"/>
            <w:vAlign w:val="top"/>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575" w:type="dxa"/>
            <w:noWrap w:val="0"/>
            <w:vAlign w:val="center"/>
          </w:tcPr>
          <w:p>
            <w:pPr>
              <w:pStyle w:val="12"/>
              <w:adjustRightIn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27" w:type="dxa"/>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226" w:type="dxa"/>
            <w:gridSpan w:val="4"/>
            <w:noWrap w:val="0"/>
            <w:vAlign w:val="center"/>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合计</w:t>
            </w:r>
          </w:p>
        </w:tc>
        <w:tc>
          <w:tcPr>
            <w:tcW w:w="2326" w:type="dxa"/>
            <w:noWrap w:val="0"/>
            <w:vAlign w:val="center"/>
          </w:tcPr>
          <w:p>
            <w:pPr>
              <w:adjustRightInd w:val="0"/>
              <w:snapToGrid w:val="0"/>
              <w:jc w:val="center"/>
              <w:rPr>
                <w:rFonts w:hint="eastAsia" w:cs="宋体"/>
                <w:color w:val="auto"/>
                <w:highlight w:val="none"/>
              </w:rPr>
            </w:pPr>
          </w:p>
        </w:tc>
      </w:tr>
    </w:tbl>
    <w:p>
      <w:pPr>
        <w:ind w:firstLine="420" w:firstLineChars="200"/>
        <w:rPr>
          <w:rFonts w:hint="eastAsia"/>
          <w:color w:val="auto"/>
          <w:szCs w:val="21"/>
          <w:highlight w:val="none"/>
        </w:rPr>
      </w:pPr>
      <w:r>
        <w:rPr>
          <w:rFonts w:hint="eastAsia"/>
          <w:color w:val="auto"/>
          <w:szCs w:val="21"/>
          <w:highlight w:val="none"/>
        </w:rPr>
        <w:t>注：1. 表格栏目不得空白，报价可填写：“无”、“免费”、“已含”等字样。</w:t>
      </w:r>
    </w:p>
    <w:p>
      <w:pPr>
        <w:spacing w:line="240" w:lineRule="atLeast"/>
        <w:ind w:firstLine="420" w:firstLineChars="200"/>
        <w:rPr>
          <w:color w:val="auto"/>
          <w:szCs w:val="21"/>
          <w:highlight w:val="none"/>
        </w:rPr>
      </w:pPr>
      <w:r>
        <w:rPr>
          <w:rFonts w:hint="eastAsia"/>
          <w:color w:val="auto"/>
          <w:szCs w:val="21"/>
          <w:highlight w:val="none"/>
        </w:rPr>
        <w:t>2.单价包括项目实施过程中发生的全部费用，包括但不限于运输费、保险费及采购文件规定的其他费用均应包含在报价中。</w:t>
      </w:r>
    </w:p>
    <w:p>
      <w:pPr>
        <w:pStyle w:val="17"/>
        <w:spacing w:after="0" w:line="560" w:lineRule="exact"/>
        <w:ind w:firstLine="0" w:firstLineChars="0"/>
        <w:rPr>
          <w:rFonts w:hint="eastAsia" w:ascii="黑体" w:hAnsi="黑体" w:eastAsia="黑体" w:cs="黑体"/>
          <w:color w:val="auto"/>
          <w:sz w:val="32"/>
          <w:szCs w:val="32"/>
          <w:highlight w:val="none"/>
          <w:lang w:val="en-US" w:eastAsia="zh-CN"/>
        </w:rPr>
      </w:pP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供应商名称 （盖章）：</w:t>
      </w: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法定代表人或授权代表（签字或签章）：</w:t>
      </w:r>
    </w:p>
    <w:p>
      <w:pPr>
        <w:pStyle w:val="3"/>
        <w:ind w:firstLine="420" w:firstLineChars="200"/>
        <w:rPr>
          <w:rFonts w:ascii="Arial" w:hAnsi="Arial" w:cs="Arial"/>
          <w:color w:val="auto"/>
          <w:highlight w:val="none"/>
        </w:rPr>
      </w:pPr>
      <w:r>
        <w:rPr>
          <w:rFonts w:ascii="Arial" w:hAnsi="Arial" w:cs="Arial"/>
          <w:color w:val="auto"/>
          <w:highlight w:val="none"/>
        </w:rPr>
        <w:t>报价日期：</w:t>
      </w:r>
    </w:p>
    <w:p>
      <w:pPr>
        <w:rPr>
          <w:rFonts w:ascii="Arial" w:hAnsi="Arial" w:cs="Arial"/>
          <w:color w:val="auto"/>
          <w:highlight w:val="none"/>
        </w:rPr>
      </w:pPr>
      <w:r>
        <w:rPr>
          <w:rFonts w:ascii="Arial" w:hAnsi="Arial" w:cs="Arial"/>
          <w:color w:val="auto"/>
          <w:highlight w:val="none"/>
        </w:rPr>
        <w:br w:type="page"/>
      </w:r>
    </w:p>
    <w:p>
      <w:pPr>
        <w:spacing w:line="360" w:lineRule="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附件7  </w:t>
      </w:r>
    </w:p>
    <w:p>
      <w:pPr>
        <w:spacing w:line="360" w:lineRule="auto"/>
        <w:ind w:firstLine="2560" w:firstLineChars="800"/>
        <w:outlineLvl w:val="1"/>
        <w:rPr>
          <w:rFonts w:ascii="Arial" w:hAnsi="Arial" w:eastAsia="宋体" w:cs="Arial"/>
          <w:b/>
          <w:color w:val="auto"/>
          <w:kern w:val="0"/>
          <w:sz w:val="28"/>
          <w:szCs w:val="28"/>
          <w:highlight w:val="none"/>
        </w:rPr>
      </w:pPr>
      <w:r>
        <w:rPr>
          <w:rFonts w:hint="eastAsia" w:ascii="黑体" w:hAnsi="黑体" w:eastAsia="黑体" w:cs="黑体"/>
          <w:color w:val="auto"/>
          <w:sz w:val="32"/>
          <w:szCs w:val="32"/>
          <w:highlight w:val="none"/>
          <w:lang w:val="en-US" w:eastAsia="zh-CN"/>
        </w:rPr>
        <w:t xml:space="preserve"> </w:t>
      </w:r>
      <w:r>
        <w:rPr>
          <w:rFonts w:ascii="Arial" w:hAnsi="Arial" w:eastAsia="宋体" w:cs="Arial"/>
          <w:b/>
          <w:color w:val="auto"/>
          <w:kern w:val="0"/>
          <w:sz w:val="28"/>
          <w:szCs w:val="28"/>
          <w:highlight w:val="none"/>
        </w:rPr>
        <w:t>供应商类似业绩一览表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7"/>
        <w:spacing w:after="0" w:line="560" w:lineRule="exact"/>
        <w:ind w:firstLine="0" w:firstLine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附件8</w:t>
      </w:r>
    </w:p>
    <w:p>
      <w:pPr>
        <w:pStyle w:val="17"/>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10"/>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ascii="黑体" w:hAnsi="黑体" w:eastAsia="黑体" w:cs="黑体"/>
          <w:sz w:val="32"/>
          <w:szCs w:val="32"/>
        </w:rPr>
      </w:pPr>
      <w:r>
        <w:rPr>
          <w:rFonts w:hint="eastAsia" w:ascii="黑体" w:hAnsi="黑体" w:eastAsia="黑体" w:cs="黑体"/>
          <w:sz w:val="32"/>
          <w:szCs w:val="32"/>
        </w:rPr>
        <w:t>附件9</w:t>
      </w:r>
    </w:p>
    <w:p>
      <w:pPr>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 xml:space="preserve">附件10         </w:t>
      </w:r>
    </w:p>
    <w:p>
      <w:pPr>
        <w:pStyle w:val="17"/>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7"/>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rPr>
          <w:b/>
          <w:bCs/>
          <w:sz w:val="28"/>
          <w:szCs w:val="28"/>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r>
        <w:rPr>
          <w:rFonts w:hint="eastAsia"/>
          <w:b/>
          <w:bCs/>
          <w:sz w:val="28"/>
          <w:szCs w:val="28"/>
        </w:rPr>
        <w:t>：</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center"/>
        <w:textAlignment w:val="auto"/>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u w:val="single"/>
          <w:lang w:val="en-US" w:eastAsia="zh-CN"/>
        </w:rPr>
        <w:t xml:space="preserve"> 10% </w:t>
      </w:r>
      <w:r>
        <w:rPr>
          <w:rFonts w:hint="eastAsia" w:ascii="宋体" w:hAnsi="宋体" w:eastAsia="宋体" w:cs="宋体"/>
          <w:sz w:val="22"/>
          <w:szCs w:val="22"/>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确 认 函</w:t>
      </w:r>
    </w:p>
    <w:p>
      <w:pPr>
        <w:adjustRightInd w:val="0"/>
        <w:snapToGrid w:val="0"/>
        <w:spacing w:line="380" w:lineRule="exact"/>
        <w:rPr>
          <w:rFonts w:ascii="仿宋_GB2312" w:hAnsi="仿宋_GB2312" w:eastAsia="仿宋_GB2312" w:cs="仿宋_GB2312"/>
          <w:bCs/>
          <w:sz w:val="30"/>
          <w:szCs w:val="30"/>
        </w:rPr>
      </w:pP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pStyle w:val="3"/>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我单位收到贵单位</w:t>
      </w:r>
      <w:r>
        <w:rPr>
          <w:rFonts w:hint="eastAsia" w:ascii="仿宋_GB2312" w:hAnsi="仿宋_GB2312" w:eastAsia="仿宋_GB2312" w:cs="仿宋_GB2312"/>
          <w:bCs/>
          <w:sz w:val="32"/>
          <w:szCs w:val="32"/>
          <w:u w:val="single"/>
        </w:rPr>
        <w:t xml:space="preserve">                      （项目名称）</w:t>
      </w:r>
      <w:r>
        <w:rPr>
          <w:rFonts w:hint="eastAsia" w:ascii="仿宋_GB2312" w:hAnsi="仿宋_GB2312" w:eastAsia="仿宋_GB2312" w:cs="仿宋_GB2312"/>
          <w:bCs/>
          <w:sz w:val="32"/>
          <w:szCs w:val="32"/>
        </w:rPr>
        <w:t>，</w:t>
      </w:r>
    </w:p>
    <w:p>
      <w:pPr>
        <w:pStyle w:val="3"/>
        <w:spacing w:after="0"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项目编号：的比价资料共页。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经过仔细研读，确定参与本项目的比价。</w:t>
      </w:r>
    </w:p>
    <w:p>
      <w:pPr>
        <w:pStyle w:val="3"/>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不参加理由（参加不用填写）。</w:t>
      </w:r>
    </w:p>
    <w:p>
      <w:pPr>
        <w:pStyle w:val="3"/>
        <w:spacing w:after="0" w:line="600" w:lineRule="exact"/>
        <w:rPr>
          <w:rFonts w:ascii="仿宋_GB2312" w:hAnsi="仿宋_GB2312" w:eastAsia="仿宋_GB2312" w:cs="仿宋_GB2312"/>
          <w:bCs/>
          <w:sz w:val="32"/>
          <w:szCs w:val="32"/>
        </w:rPr>
      </w:pPr>
    </w:p>
    <w:p>
      <w:pPr>
        <w:spacing w:line="600" w:lineRule="exact"/>
      </w:pPr>
    </w:p>
    <w:p>
      <w:pPr>
        <w:spacing w:line="60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公司名称（公章）：</w:t>
      </w:r>
    </w:p>
    <w:p>
      <w:pPr>
        <w:pStyle w:val="3"/>
        <w:spacing w:after="0" w:line="600" w:lineRule="exact"/>
        <w:ind w:firstLine="4800" w:firstLineChars="1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注：此函是确认参加与否的回函，不放入比价资料中。</w:t>
      </w:r>
    </w:p>
    <w:p>
      <w:pPr>
        <w:rPr>
          <w:rFonts w:hint="default"/>
          <w:color w:val="auto"/>
          <w:highlight w:val="none"/>
          <w:lang w:val="en-US" w:eastAsia="zh-CN"/>
        </w:rPr>
      </w:pPr>
    </w:p>
    <w:sectPr>
      <w:headerReference r:id="rId7" w:type="default"/>
      <w:footerReference r:id="rId8" w:type="default"/>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SZtLeAQAAvgMAAA4AAABkcnMv&#10;ZTJvRG9jLnhtbK1TwY7TMBC9I/EPlu802Qp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gjMnLA38/OP7+efv869v7Hm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4xJm0t4BAAC+AwAADgAAAAAAAAABACAAAAA0AQAAZHJzL2Uyb0RvYy54bWxQSwUGAAAAAAYA&#10;BgBZAQAAh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76194"/>
    <w:multiLevelType w:val="singleLevel"/>
    <w:tmpl w:val="CC37619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BE4"/>
    <w:rsid w:val="00006E78"/>
    <w:rsid w:val="00007B04"/>
    <w:rsid w:val="000122A1"/>
    <w:rsid w:val="00013E83"/>
    <w:rsid w:val="00014030"/>
    <w:rsid w:val="0001769D"/>
    <w:rsid w:val="00017B74"/>
    <w:rsid w:val="00020433"/>
    <w:rsid w:val="00021743"/>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47D9"/>
    <w:rsid w:val="00384F4D"/>
    <w:rsid w:val="00385462"/>
    <w:rsid w:val="00385939"/>
    <w:rsid w:val="00387529"/>
    <w:rsid w:val="0039128D"/>
    <w:rsid w:val="0039236A"/>
    <w:rsid w:val="00393BDF"/>
    <w:rsid w:val="0039570B"/>
    <w:rsid w:val="003960B8"/>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DBC"/>
    <w:rsid w:val="00AE54FC"/>
    <w:rsid w:val="00AE6774"/>
    <w:rsid w:val="00AE6971"/>
    <w:rsid w:val="00AE6C87"/>
    <w:rsid w:val="00AE6E39"/>
    <w:rsid w:val="00AF1BB3"/>
    <w:rsid w:val="00AF490D"/>
    <w:rsid w:val="00AF5C33"/>
    <w:rsid w:val="00AF69B5"/>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BA2"/>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71D7"/>
    <w:rsid w:val="00FB768D"/>
    <w:rsid w:val="00FB7841"/>
    <w:rsid w:val="00FB7C74"/>
    <w:rsid w:val="00FC0E75"/>
    <w:rsid w:val="00FC10B1"/>
    <w:rsid w:val="00FC1DE5"/>
    <w:rsid w:val="00FC2700"/>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C715DA"/>
    <w:rsid w:val="02916A36"/>
    <w:rsid w:val="02AF7163"/>
    <w:rsid w:val="02C95C76"/>
    <w:rsid w:val="02FB6C58"/>
    <w:rsid w:val="03124F70"/>
    <w:rsid w:val="032209CB"/>
    <w:rsid w:val="0351128D"/>
    <w:rsid w:val="046F382D"/>
    <w:rsid w:val="04A3197A"/>
    <w:rsid w:val="04B962EC"/>
    <w:rsid w:val="04EA5018"/>
    <w:rsid w:val="05435A37"/>
    <w:rsid w:val="05633526"/>
    <w:rsid w:val="056D4ABE"/>
    <w:rsid w:val="05E161CC"/>
    <w:rsid w:val="05F02345"/>
    <w:rsid w:val="06172330"/>
    <w:rsid w:val="06272BC4"/>
    <w:rsid w:val="0641089F"/>
    <w:rsid w:val="06686647"/>
    <w:rsid w:val="066F6FD8"/>
    <w:rsid w:val="067A45EC"/>
    <w:rsid w:val="067C024B"/>
    <w:rsid w:val="069A06D8"/>
    <w:rsid w:val="06A15F7C"/>
    <w:rsid w:val="06A77237"/>
    <w:rsid w:val="07B17B85"/>
    <w:rsid w:val="07CB4688"/>
    <w:rsid w:val="08BB6209"/>
    <w:rsid w:val="099A4612"/>
    <w:rsid w:val="09B11643"/>
    <w:rsid w:val="0A161709"/>
    <w:rsid w:val="0A210B55"/>
    <w:rsid w:val="0A2F1F54"/>
    <w:rsid w:val="0A40586D"/>
    <w:rsid w:val="0AE31AE0"/>
    <w:rsid w:val="0B0D5E20"/>
    <w:rsid w:val="0C021A88"/>
    <w:rsid w:val="0C5B0699"/>
    <w:rsid w:val="0CEB68D2"/>
    <w:rsid w:val="0DC94044"/>
    <w:rsid w:val="0E504798"/>
    <w:rsid w:val="0EF74525"/>
    <w:rsid w:val="0F437B1F"/>
    <w:rsid w:val="0F763440"/>
    <w:rsid w:val="0F96383E"/>
    <w:rsid w:val="0FC07448"/>
    <w:rsid w:val="0FC43F95"/>
    <w:rsid w:val="0FEC4617"/>
    <w:rsid w:val="111D5839"/>
    <w:rsid w:val="112076B2"/>
    <w:rsid w:val="113A62E0"/>
    <w:rsid w:val="11D8422D"/>
    <w:rsid w:val="11EF77BB"/>
    <w:rsid w:val="12A16331"/>
    <w:rsid w:val="12E02A8C"/>
    <w:rsid w:val="134E270A"/>
    <w:rsid w:val="137303F6"/>
    <w:rsid w:val="139E57DA"/>
    <w:rsid w:val="13C52358"/>
    <w:rsid w:val="14BC5780"/>
    <w:rsid w:val="160369B4"/>
    <w:rsid w:val="163A39E8"/>
    <w:rsid w:val="16634BBC"/>
    <w:rsid w:val="1673762B"/>
    <w:rsid w:val="17B53A65"/>
    <w:rsid w:val="183A1768"/>
    <w:rsid w:val="18C83811"/>
    <w:rsid w:val="18FA2664"/>
    <w:rsid w:val="192E7F1F"/>
    <w:rsid w:val="1A735542"/>
    <w:rsid w:val="1AAE1638"/>
    <w:rsid w:val="1B4D369E"/>
    <w:rsid w:val="1BB84694"/>
    <w:rsid w:val="1BE71D1C"/>
    <w:rsid w:val="1C41033D"/>
    <w:rsid w:val="1C6519AF"/>
    <w:rsid w:val="1D2133B3"/>
    <w:rsid w:val="1D244C27"/>
    <w:rsid w:val="1DE51DF3"/>
    <w:rsid w:val="1E5B7B5E"/>
    <w:rsid w:val="1EF67C05"/>
    <w:rsid w:val="1F18486A"/>
    <w:rsid w:val="1F3119EE"/>
    <w:rsid w:val="1FCFADE0"/>
    <w:rsid w:val="20620F5E"/>
    <w:rsid w:val="212C083F"/>
    <w:rsid w:val="21B52A90"/>
    <w:rsid w:val="21F94072"/>
    <w:rsid w:val="22F60371"/>
    <w:rsid w:val="2371016F"/>
    <w:rsid w:val="23A92226"/>
    <w:rsid w:val="23B90512"/>
    <w:rsid w:val="23DC45C3"/>
    <w:rsid w:val="241443C7"/>
    <w:rsid w:val="24D778F7"/>
    <w:rsid w:val="25420BE8"/>
    <w:rsid w:val="25A70F54"/>
    <w:rsid w:val="25C91785"/>
    <w:rsid w:val="267562A0"/>
    <w:rsid w:val="27CF0C2D"/>
    <w:rsid w:val="27E34B46"/>
    <w:rsid w:val="27E61D8D"/>
    <w:rsid w:val="282109D6"/>
    <w:rsid w:val="2892472C"/>
    <w:rsid w:val="28B4162E"/>
    <w:rsid w:val="29007C90"/>
    <w:rsid w:val="2AE12E92"/>
    <w:rsid w:val="2B012746"/>
    <w:rsid w:val="2B070523"/>
    <w:rsid w:val="2B2A44E7"/>
    <w:rsid w:val="2B580A25"/>
    <w:rsid w:val="2C313FEC"/>
    <w:rsid w:val="2C6965EF"/>
    <w:rsid w:val="2C6C1E73"/>
    <w:rsid w:val="2CCF501D"/>
    <w:rsid w:val="2CDB5C44"/>
    <w:rsid w:val="2CE612F4"/>
    <w:rsid w:val="2E5134EE"/>
    <w:rsid w:val="2EF35CB2"/>
    <w:rsid w:val="2FAB497D"/>
    <w:rsid w:val="2FBC7108"/>
    <w:rsid w:val="30222D5D"/>
    <w:rsid w:val="308B63A1"/>
    <w:rsid w:val="30AF58F3"/>
    <w:rsid w:val="31813538"/>
    <w:rsid w:val="31D46A1E"/>
    <w:rsid w:val="31E32076"/>
    <w:rsid w:val="322F0057"/>
    <w:rsid w:val="3255688D"/>
    <w:rsid w:val="327818B2"/>
    <w:rsid w:val="329E4483"/>
    <w:rsid w:val="332232F7"/>
    <w:rsid w:val="333E1607"/>
    <w:rsid w:val="33566203"/>
    <w:rsid w:val="339873A2"/>
    <w:rsid w:val="33C1101A"/>
    <w:rsid w:val="33D575D7"/>
    <w:rsid w:val="34305B67"/>
    <w:rsid w:val="348F69FB"/>
    <w:rsid w:val="34C2779C"/>
    <w:rsid w:val="34E5124E"/>
    <w:rsid w:val="355D66FD"/>
    <w:rsid w:val="35615DA9"/>
    <w:rsid w:val="35AD52B2"/>
    <w:rsid w:val="35FD4922"/>
    <w:rsid w:val="361E5EDF"/>
    <w:rsid w:val="370F10D1"/>
    <w:rsid w:val="376E0D96"/>
    <w:rsid w:val="37934C45"/>
    <w:rsid w:val="37D93D0B"/>
    <w:rsid w:val="37FF701B"/>
    <w:rsid w:val="384D2741"/>
    <w:rsid w:val="39726E4E"/>
    <w:rsid w:val="39A20CFD"/>
    <w:rsid w:val="3A6E717D"/>
    <w:rsid w:val="3AC036F5"/>
    <w:rsid w:val="3AE60620"/>
    <w:rsid w:val="3AE62458"/>
    <w:rsid w:val="3B4F0A4D"/>
    <w:rsid w:val="3BFF746B"/>
    <w:rsid w:val="3C6072C9"/>
    <w:rsid w:val="3DC8303A"/>
    <w:rsid w:val="3E774E5F"/>
    <w:rsid w:val="3FE5E52F"/>
    <w:rsid w:val="3FFC2E03"/>
    <w:rsid w:val="40AF12BC"/>
    <w:rsid w:val="413C79AE"/>
    <w:rsid w:val="431B550C"/>
    <w:rsid w:val="43BC075C"/>
    <w:rsid w:val="444315D3"/>
    <w:rsid w:val="453252A8"/>
    <w:rsid w:val="454A5A23"/>
    <w:rsid w:val="45AE6C6C"/>
    <w:rsid w:val="45FA4935"/>
    <w:rsid w:val="461875C7"/>
    <w:rsid w:val="46A1392F"/>
    <w:rsid w:val="46AC5C7C"/>
    <w:rsid w:val="46F6793B"/>
    <w:rsid w:val="46FD6E57"/>
    <w:rsid w:val="47BC11DC"/>
    <w:rsid w:val="49B75E64"/>
    <w:rsid w:val="4A124D77"/>
    <w:rsid w:val="4B19642A"/>
    <w:rsid w:val="4B4C3B1D"/>
    <w:rsid w:val="4B89799D"/>
    <w:rsid w:val="4BCA740D"/>
    <w:rsid w:val="4D126BAC"/>
    <w:rsid w:val="4D502FEC"/>
    <w:rsid w:val="4DFF28AB"/>
    <w:rsid w:val="4E475A47"/>
    <w:rsid w:val="4E53721B"/>
    <w:rsid w:val="4E7B40EC"/>
    <w:rsid w:val="4E8101BB"/>
    <w:rsid w:val="4E983EB6"/>
    <w:rsid w:val="4F13318A"/>
    <w:rsid w:val="4F7F7894"/>
    <w:rsid w:val="4F81102C"/>
    <w:rsid w:val="4F9E13F2"/>
    <w:rsid w:val="50132EF0"/>
    <w:rsid w:val="51092F2D"/>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71F40F1"/>
    <w:rsid w:val="57490FA1"/>
    <w:rsid w:val="575F935D"/>
    <w:rsid w:val="58DB350C"/>
    <w:rsid w:val="59484E03"/>
    <w:rsid w:val="597A14B4"/>
    <w:rsid w:val="597A3DD8"/>
    <w:rsid w:val="59857E72"/>
    <w:rsid w:val="5A0D50B3"/>
    <w:rsid w:val="5A646FA5"/>
    <w:rsid w:val="5B200741"/>
    <w:rsid w:val="5B8549E1"/>
    <w:rsid w:val="5BDA03D7"/>
    <w:rsid w:val="5C121744"/>
    <w:rsid w:val="5C353B7B"/>
    <w:rsid w:val="5C7806E1"/>
    <w:rsid w:val="5D0D23CE"/>
    <w:rsid w:val="5E0A45EF"/>
    <w:rsid w:val="5E776008"/>
    <w:rsid w:val="5EE516BC"/>
    <w:rsid w:val="5F1E02DE"/>
    <w:rsid w:val="5F234F0E"/>
    <w:rsid w:val="5FAE5806"/>
    <w:rsid w:val="5FAF11AE"/>
    <w:rsid w:val="5FBC1130"/>
    <w:rsid w:val="608E1635"/>
    <w:rsid w:val="60E6759D"/>
    <w:rsid w:val="61DF3C95"/>
    <w:rsid w:val="61EC0834"/>
    <w:rsid w:val="61EE56D2"/>
    <w:rsid w:val="629E2F0C"/>
    <w:rsid w:val="62B03783"/>
    <w:rsid w:val="62B176A0"/>
    <w:rsid w:val="63504FAC"/>
    <w:rsid w:val="63796157"/>
    <w:rsid w:val="639452F3"/>
    <w:rsid w:val="63A36988"/>
    <w:rsid w:val="641531FE"/>
    <w:rsid w:val="64290894"/>
    <w:rsid w:val="64A8353D"/>
    <w:rsid w:val="64B56DB4"/>
    <w:rsid w:val="64F405F5"/>
    <w:rsid w:val="6558404F"/>
    <w:rsid w:val="656D79EE"/>
    <w:rsid w:val="659B5C03"/>
    <w:rsid w:val="65A44FC7"/>
    <w:rsid w:val="667A66E7"/>
    <w:rsid w:val="669B5C2C"/>
    <w:rsid w:val="66C97226"/>
    <w:rsid w:val="66CB581B"/>
    <w:rsid w:val="67334E23"/>
    <w:rsid w:val="67994FDE"/>
    <w:rsid w:val="67AC51DA"/>
    <w:rsid w:val="67CB7640"/>
    <w:rsid w:val="68A443CB"/>
    <w:rsid w:val="68C42916"/>
    <w:rsid w:val="69A267ED"/>
    <w:rsid w:val="6A26454B"/>
    <w:rsid w:val="6A4C3372"/>
    <w:rsid w:val="6AF2584A"/>
    <w:rsid w:val="6B016316"/>
    <w:rsid w:val="6B0C1CB9"/>
    <w:rsid w:val="6BB76439"/>
    <w:rsid w:val="6BEFFB7E"/>
    <w:rsid w:val="6C166792"/>
    <w:rsid w:val="6C1B1A13"/>
    <w:rsid w:val="6C882C87"/>
    <w:rsid w:val="6CA971CD"/>
    <w:rsid w:val="6CF92833"/>
    <w:rsid w:val="6EEF574C"/>
    <w:rsid w:val="6F620669"/>
    <w:rsid w:val="6F7F6BD0"/>
    <w:rsid w:val="704B1F04"/>
    <w:rsid w:val="70DB592D"/>
    <w:rsid w:val="721E2945"/>
    <w:rsid w:val="726B2A24"/>
    <w:rsid w:val="742B0FFC"/>
    <w:rsid w:val="744C4E9E"/>
    <w:rsid w:val="747733F0"/>
    <w:rsid w:val="74F57957"/>
    <w:rsid w:val="752F03C1"/>
    <w:rsid w:val="75304DFC"/>
    <w:rsid w:val="76273D75"/>
    <w:rsid w:val="769B6856"/>
    <w:rsid w:val="77443B5A"/>
    <w:rsid w:val="777D7335"/>
    <w:rsid w:val="77D74D8F"/>
    <w:rsid w:val="77F54453"/>
    <w:rsid w:val="782A5274"/>
    <w:rsid w:val="78472538"/>
    <w:rsid w:val="787427C1"/>
    <w:rsid w:val="78B9374D"/>
    <w:rsid w:val="792C349F"/>
    <w:rsid w:val="79463E2E"/>
    <w:rsid w:val="79DF0FC0"/>
    <w:rsid w:val="79DF471A"/>
    <w:rsid w:val="79EF4E60"/>
    <w:rsid w:val="7A4134AA"/>
    <w:rsid w:val="7AC6342B"/>
    <w:rsid w:val="7CE66768"/>
    <w:rsid w:val="7CFC1FE1"/>
    <w:rsid w:val="7CFD328A"/>
    <w:rsid w:val="7D95481C"/>
    <w:rsid w:val="7DCC1C99"/>
    <w:rsid w:val="7EC00ACD"/>
    <w:rsid w:val="7F230419"/>
    <w:rsid w:val="7F4C006E"/>
    <w:rsid w:val="7F771ECD"/>
    <w:rsid w:val="7F8531B5"/>
    <w:rsid w:val="7FBBDE58"/>
    <w:rsid w:val="7FF757EA"/>
    <w:rsid w:val="7FFD738C"/>
    <w:rsid w:val="9F7336FC"/>
    <w:rsid w:val="AFFDB974"/>
    <w:rsid w:val="AFFF92DE"/>
    <w:rsid w:val="AFFFB35D"/>
    <w:rsid w:val="B5EE94C0"/>
    <w:rsid w:val="DF7C1DAF"/>
    <w:rsid w:val="DFFF8028"/>
    <w:rsid w:val="EF774201"/>
    <w:rsid w:val="EF7E2B91"/>
    <w:rsid w:val="F3DFD005"/>
    <w:rsid w:val="F78CFE50"/>
    <w:rsid w:val="F7FD61F5"/>
    <w:rsid w:val="F9FF353D"/>
    <w:rsid w:val="FB234ED0"/>
    <w:rsid w:val="FDEF9D3E"/>
    <w:rsid w:val="FDF6D1EF"/>
    <w:rsid w:val="FEDF142B"/>
    <w:rsid w:val="FF7FB695"/>
    <w:rsid w:val="FFF728D9"/>
    <w:rsid w:val="FFF79600"/>
    <w:rsid w:val="FFFF9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6">
    <w:name w:val="heading 3"/>
    <w:basedOn w:val="1"/>
    <w:next w:val="1"/>
    <w:qFormat/>
    <w:uiPriority w:val="0"/>
    <w:pPr>
      <w:keepNext/>
      <w:keepLines/>
      <w:widowControl w:val="0"/>
      <w:spacing w:line="560" w:lineRule="exact"/>
      <w:ind w:firstLine="880" w:firstLineChars="200"/>
      <w:outlineLvl w:val="2"/>
    </w:pPr>
    <w:rPr>
      <w:rFonts w:ascii="Times New Roman" w:hAnsi="Times New Roman" w:eastAsia="楷体_GB2312"/>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next w:val="1"/>
    <w:qFormat/>
    <w:uiPriority w:val="0"/>
    <w:pPr>
      <w:spacing w:after="120"/>
    </w:pPr>
  </w:style>
  <w:style w:type="paragraph" w:styleId="5">
    <w:name w:val="Normal Indent"/>
    <w:basedOn w:val="1"/>
    <w:qFormat/>
    <w:uiPriority w:val="0"/>
    <w:pPr>
      <w:ind w:firstLine="420"/>
    </w:pPr>
    <w:rPr>
      <w:rFonts w:ascii="Times New Roman" w:hAnsi="Times New Roman"/>
      <w:sz w:val="20"/>
    </w:rPr>
  </w:style>
  <w:style w:type="paragraph" w:styleId="8">
    <w:name w:val="annotation text"/>
    <w:basedOn w:val="1"/>
    <w:qFormat/>
    <w:uiPriority w:val="0"/>
    <w:pPr>
      <w:adjustRightInd w:val="0"/>
      <w:spacing w:line="315" w:lineRule="atLeast"/>
      <w:jc w:val="left"/>
      <w:textAlignment w:val="baseline"/>
    </w:pPr>
  </w:style>
  <w:style w:type="paragraph" w:styleId="9">
    <w:name w:val="toc 5"/>
    <w:basedOn w:val="1"/>
    <w:next w:val="1"/>
    <w:qFormat/>
    <w:uiPriority w:val="39"/>
    <w:pPr>
      <w:ind w:left="1680" w:leftChars="800"/>
    </w:pPr>
    <w:rPr>
      <w:szCs w:val="24"/>
    </w:rPr>
  </w:style>
  <w:style w:type="paragraph" w:styleId="10">
    <w:name w:val="Plain Text"/>
    <w:basedOn w:val="1"/>
    <w:next w:val="1"/>
    <w:qFormat/>
    <w:uiPriority w:val="0"/>
    <w:rPr>
      <w:rFonts w:ascii="宋体" w:hAnsi="Courier New"/>
    </w:rPr>
  </w:style>
  <w:style w:type="paragraph" w:styleId="11">
    <w:name w:val="Body Text Indent 2"/>
    <w:basedOn w:val="1"/>
    <w:qFormat/>
    <w:uiPriority w:val="0"/>
    <w:pPr>
      <w:ind w:left="105" w:firstLine="690"/>
    </w:pPr>
    <w:rPr>
      <w:rFonts w:hAnsi="Times New Roman"/>
      <w:sz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3"/>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000000"/>
      <w:sz w:val="18"/>
      <w:szCs w:val="18"/>
      <w:u w:val="none"/>
    </w:rPr>
  </w:style>
  <w:style w:type="character" w:styleId="23">
    <w:name w:val="Emphasis"/>
    <w:basedOn w:val="20"/>
    <w:qFormat/>
    <w:uiPriority w:val="0"/>
  </w:style>
  <w:style w:type="character" w:styleId="24">
    <w:name w:val="Hyperlink"/>
    <w:basedOn w:val="20"/>
    <w:qFormat/>
    <w:uiPriority w:val="0"/>
    <w:rPr>
      <w:color w:val="000000"/>
      <w:sz w:val="18"/>
      <w:szCs w:val="18"/>
      <w:u w:val="none"/>
    </w:rPr>
  </w:style>
  <w:style w:type="paragraph" w:customStyle="1" w:styleId="25">
    <w:name w:val="正文-首缩2字符"/>
    <w:basedOn w:val="1"/>
    <w:qFormat/>
    <w:uiPriority w:val="99"/>
    <w:pPr>
      <w:ind w:firstLine="200" w:firstLineChars="200"/>
      <w:jc w:val="left"/>
    </w:pPr>
    <w:rPr>
      <w:rFonts w:hAnsi="宋体" w:cs="宋体"/>
      <w:szCs w:val="24"/>
    </w:rPr>
  </w:style>
  <w:style w:type="paragraph" w:customStyle="1" w:styleId="26">
    <w:name w:val="样式 首行缩进:  2 字符"/>
    <w:basedOn w:val="1"/>
    <w:qFormat/>
    <w:uiPriority w:val="0"/>
    <w:pPr>
      <w:spacing w:line="360" w:lineRule="auto"/>
      <w:ind w:firstLine="480" w:firstLineChars="200"/>
      <w:jc w:val="left"/>
    </w:pPr>
    <w:rPr>
      <w:sz w:val="24"/>
      <w:szCs w:val="20"/>
    </w:rPr>
  </w:style>
  <w:style w:type="character" w:customStyle="1" w:styleId="27">
    <w:name w:val="xtb-fr-14"/>
    <w:basedOn w:val="20"/>
    <w:qFormat/>
    <w:uiPriority w:val="0"/>
  </w:style>
  <w:style w:type="character" w:customStyle="1" w:styleId="28">
    <w:name w:val="zy-gr-bj6"/>
    <w:basedOn w:val="20"/>
    <w:qFormat/>
    <w:uiPriority w:val="0"/>
  </w:style>
  <w:style w:type="character" w:customStyle="1" w:styleId="29">
    <w:name w:val="zy-fr-bj22"/>
    <w:basedOn w:val="20"/>
    <w:qFormat/>
    <w:uiPriority w:val="0"/>
  </w:style>
  <w:style w:type="character" w:customStyle="1" w:styleId="30">
    <w:name w:val="zy-fr-bj13"/>
    <w:basedOn w:val="20"/>
    <w:qFormat/>
    <w:uiPriority w:val="0"/>
  </w:style>
  <w:style w:type="character" w:customStyle="1" w:styleId="31">
    <w:name w:val="hover110"/>
    <w:basedOn w:val="20"/>
    <w:qFormat/>
    <w:uiPriority w:val="0"/>
    <w:rPr>
      <w:shd w:val="clear" w:color="auto" w:fill="277E37"/>
    </w:rPr>
  </w:style>
  <w:style w:type="character" w:customStyle="1" w:styleId="32">
    <w:name w:val="zx-span41"/>
    <w:basedOn w:val="20"/>
    <w:qFormat/>
    <w:uiPriority w:val="0"/>
    <w:rPr>
      <w:color w:val="FFFFFF"/>
    </w:rPr>
  </w:style>
  <w:style w:type="character" w:customStyle="1" w:styleId="33">
    <w:name w:val="zy-fr-bj3"/>
    <w:basedOn w:val="20"/>
    <w:qFormat/>
    <w:uiPriority w:val="0"/>
  </w:style>
  <w:style w:type="character" w:customStyle="1" w:styleId="34">
    <w:name w:val="xtb-gr-09"/>
    <w:basedOn w:val="20"/>
    <w:qFormat/>
    <w:uiPriority w:val="0"/>
  </w:style>
  <w:style w:type="character" w:customStyle="1" w:styleId="35">
    <w:name w:val="zy-gr-bj4"/>
    <w:basedOn w:val="20"/>
    <w:qFormat/>
    <w:uiPriority w:val="0"/>
  </w:style>
  <w:style w:type="character" w:customStyle="1" w:styleId="36">
    <w:name w:val="zy-fr-bj10"/>
    <w:basedOn w:val="20"/>
    <w:qFormat/>
    <w:uiPriority w:val="0"/>
  </w:style>
  <w:style w:type="character" w:customStyle="1" w:styleId="37">
    <w:name w:val="zy-fr-bj19"/>
    <w:basedOn w:val="20"/>
    <w:qFormat/>
    <w:uiPriority w:val="0"/>
  </w:style>
  <w:style w:type="character" w:customStyle="1" w:styleId="38">
    <w:name w:val="xtb-gr-17"/>
    <w:basedOn w:val="20"/>
    <w:qFormat/>
    <w:uiPriority w:val="0"/>
  </w:style>
  <w:style w:type="character" w:customStyle="1" w:styleId="39">
    <w:name w:val="zy-fr-bj8"/>
    <w:basedOn w:val="20"/>
    <w:qFormat/>
    <w:uiPriority w:val="0"/>
  </w:style>
  <w:style w:type="character" w:customStyle="1" w:styleId="40">
    <w:name w:val="xtb-fr-13"/>
    <w:basedOn w:val="20"/>
    <w:qFormat/>
    <w:uiPriority w:val="0"/>
  </w:style>
  <w:style w:type="character" w:customStyle="1" w:styleId="41">
    <w:name w:val="zy-fr-bj9"/>
    <w:basedOn w:val="20"/>
    <w:qFormat/>
    <w:uiPriority w:val="0"/>
  </w:style>
  <w:style w:type="character" w:customStyle="1" w:styleId="42">
    <w:name w:val="xtb-gr-14"/>
    <w:basedOn w:val="20"/>
    <w:qFormat/>
    <w:uiPriority w:val="0"/>
  </w:style>
  <w:style w:type="character" w:customStyle="1" w:styleId="43">
    <w:name w:val="zy-gr-bj15"/>
    <w:basedOn w:val="20"/>
    <w:qFormat/>
    <w:uiPriority w:val="0"/>
  </w:style>
  <w:style w:type="character" w:customStyle="1" w:styleId="44">
    <w:name w:val="zy-fr-bj15"/>
    <w:basedOn w:val="20"/>
    <w:qFormat/>
    <w:uiPriority w:val="0"/>
  </w:style>
  <w:style w:type="character" w:customStyle="1" w:styleId="45">
    <w:name w:val="hdjl-x-l-m-sp3"/>
    <w:basedOn w:val="20"/>
    <w:qFormat/>
    <w:uiPriority w:val="0"/>
  </w:style>
  <w:style w:type="character" w:customStyle="1" w:styleId="46">
    <w:name w:val="zy-gr-bj8"/>
    <w:basedOn w:val="20"/>
    <w:qFormat/>
    <w:uiPriority w:val="0"/>
  </w:style>
  <w:style w:type="character" w:customStyle="1" w:styleId="47">
    <w:name w:val="zy-gr-bj14"/>
    <w:basedOn w:val="20"/>
    <w:qFormat/>
    <w:uiPriority w:val="0"/>
  </w:style>
  <w:style w:type="character" w:customStyle="1" w:styleId="48">
    <w:name w:val="zy-gr-bj18"/>
    <w:basedOn w:val="20"/>
    <w:qFormat/>
    <w:uiPriority w:val="0"/>
  </w:style>
  <w:style w:type="character" w:customStyle="1" w:styleId="49">
    <w:name w:val="xtb-gr-11"/>
    <w:basedOn w:val="20"/>
    <w:qFormat/>
    <w:uiPriority w:val="0"/>
  </w:style>
  <w:style w:type="character" w:customStyle="1" w:styleId="50">
    <w:name w:val="zy-gr-bj17"/>
    <w:basedOn w:val="20"/>
    <w:qFormat/>
    <w:uiPriority w:val="0"/>
  </w:style>
  <w:style w:type="character" w:customStyle="1" w:styleId="51">
    <w:name w:val="hdjl-x-l-m-sp4"/>
    <w:basedOn w:val="20"/>
    <w:qFormat/>
    <w:uiPriority w:val="0"/>
  </w:style>
  <w:style w:type="character" w:customStyle="1" w:styleId="52">
    <w:name w:val="zy-fr-bj23"/>
    <w:basedOn w:val="20"/>
    <w:qFormat/>
    <w:uiPriority w:val="0"/>
  </w:style>
  <w:style w:type="character" w:customStyle="1" w:styleId="53">
    <w:name w:val="hdjl-x-l-x-sp3"/>
    <w:basedOn w:val="20"/>
    <w:qFormat/>
    <w:uiPriority w:val="0"/>
    <w:rPr>
      <w:color w:val="BFBFBF"/>
      <w:sz w:val="18"/>
      <w:szCs w:val="18"/>
    </w:rPr>
  </w:style>
  <w:style w:type="character" w:customStyle="1" w:styleId="54">
    <w:name w:val="zy-gr-bj23"/>
    <w:basedOn w:val="20"/>
    <w:qFormat/>
    <w:uiPriority w:val="0"/>
  </w:style>
  <w:style w:type="character" w:customStyle="1" w:styleId="55">
    <w:name w:val="xtb-fr-10"/>
    <w:basedOn w:val="20"/>
    <w:qFormat/>
    <w:uiPriority w:val="0"/>
  </w:style>
  <w:style w:type="character" w:customStyle="1" w:styleId="56">
    <w:name w:val="zy-gr-bj22"/>
    <w:basedOn w:val="20"/>
    <w:qFormat/>
    <w:uiPriority w:val="0"/>
  </w:style>
  <w:style w:type="character" w:customStyle="1" w:styleId="57">
    <w:name w:val="r-5-l-sp1"/>
    <w:basedOn w:val="20"/>
    <w:qFormat/>
    <w:uiPriority w:val="0"/>
  </w:style>
  <w:style w:type="character" w:customStyle="1" w:styleId="58">
    <w:name w:val="xtb-gr-13"/>
    <w:basedOn w:val="20"/>
    <w:qFormat/>
    <w:uiPriority w:val="0"/>
  </w:style>
  <w:style w:type="character" w:customStyle="1" w:styleId="59">
    <w:name w:val="xtb-fr-21"/>
    <w:basedOn w:val="20"/>
    <w:qFormat/>
    <w:uiPriority w:val="0"/>
  </w:style>
  <w:style w:type="character" w:customStyle="1" w:styleId="60">
    <w:name w:val="zy-gr-bj25"/>
    <w:basedOn w:val="20"/>
    <w:qFormat/>
    <w:uiPriority w:val="0"/>
  </w:style>
  <w:style w:type="character" w:customStyle="1" w:styleId="61">
    <w:name w:val="hdxdata"/>
    <w:basedOn w:val="20"/>
    <w:qFormat/>
    <w:uiPriority w:val="0"/>
  </w:style>
  <w:style w:type="character" w:customStyle="1" w:styleId="62">
    <w:name w:val="zx-span1"/>
    <w:basedOn w:val="20"/>
    <w:qFormat/>
    <w:uiPriority w:val="0"/>
  </w:style>
  <w:style w:type="character" w:customStyle="1" w:styleId="63">
    <w:name w:val="zy-fr-bj24"/>
    <w:basedOn w:val="20"/>
    <w:qFormat/>
    <w:uiPriority w:val="0"/>
  </w:style>
  <w:style w:type="character" w:customStyle="1" w:styleId="64">
    <w:name w:val="zy-fr-bj21"/>
    <w:basedOn w:val="20"/>
    <w:qFormat/>
    <w:uiPriority w:val="0"/>
  </w:style>
  <w:style w:type="character" w:customStyle="1" w:styleId="65">
    <w:name w:val="zx-span5"/>
    <w:basedOn w:val="20"/>
    <w:qFormat/>
    <w:uiPriority w:val="0"/>
  </w:style>
  <w:style w:type="character" w:customStyle="1" w:styleId="66">
    <w:name w:val="xtb-fr-23"/>
    <w:basedOn w:val="20"/>
    <w:qFormat/>
    <w:uiPriority w:val="0"/>
  </w:style>
  <w:style w:type="character" w:customStyle="1" w:styleId="67">
    <w:name w:val="xtb-gr-01"/>
    <w:basedOn w:val="20"/>
    <w:qFormat/>
    <w:uiPriority w:val="0"/>
  </w:style>
  <w:style w:type="character" w:customStyle="1" w:styleId="68">
    <w:name w:val="zy-gr-bj5"/>
    <w:basedOn w:val="20"/>
    <w:qFormat/>
    <w:uiPriority w:val="0"/>
  </w:style>
  <w:style w:type="character" w:customStyle="1" w:styleId="69">
    <w:name w:val="zy-gr-bj2"/>
    <w:basedOn w:val="20"/>
    <w:qFormat/>
    <w:uiPriority w:val="0"/>
  </w:style>
  <w:style w:type="character" w:customStyle="1" w:styleId="70">
    <w:name w:val="zy-fr-bj5"/>
    <w:basedOn w:val="20"/>
    <w:qFormat/>
    <w:uiPriority w:val="0"/>
  </w:style>
  <w:style w:type="character" w:customStyle="1" w:styleId="71">
    <w:name w:val="xtb-fr-11"/>
    <w:basedOn w:val="20"/>
    <w:qFormat/>
    <w:uiPriority w:val="0"/>
  </w:style>
  <w:style w:type="character" w:customStyle="1" w:styleId="72">
    <w:name w:val="bsfw-sp2"/>
    <w:basedOn w:val="20"/>
    <w:qFormat/>
    <w:uiPriority w:val="0"/>
  </w:style>
  <w:style w:type="character" w:customStyle="1" w:styleId="73">
    <w:name w:val="xtb-gr-06"/>
    <w:basedOn w:val="20"/>
    <w:qFormat/>
    <w:uiPriority w:val="0"/>
  </w:style>
  <w:style w:type="character" w:customStyle="1" w:styleId="74">
    <w:name w:val="hdjl-x-l-m-sp1"/>
    <w:basedOn w:val="20"/>
    <w:qFormat/>
    <w:uiPriority w:val="0"/>
  </w:style>
  <w:style w:type="character" w:customStyle="1" w:styleId="75">
    <w:name w:val="zy-gr-bj19"/>
    <w:basedOn w:val="20"/>
    <w:qFormat/>
    <w:uiPriority w:val="0"/>
  </w:style>
  <w:style w:type="character" w:customStyle="1" w:styleId="76">
    <w:name w:val="zy-gr-bj3"/>
    <w:basedOn w:val="20"/>
    <w:qFormat/>
    <w:uiPriority w:val="0"/>
  </w:style>
  <w:style w:type="character" w:customStyle="1" w:styleId="77">
    <w:name w:val="xtb-gr-10"/>
    <w:basedOn w:val="20"/>
    <w:qFormat/>
    <w:uiPriority w:val="0"/>
  </w:style>
  <w:style w:type="character" w:customStyle="1" w:styleId="78">
    <w:name w:val="zy-fr-bj29"/>
    <w:basedOn w:val="20"/>
    <w:qFormat/>
    <w:uiPriority w:val="0"/>
  </w:style>
  <w:style w:type="character" w:customStyle="1" w:styleId="79">
    <w:name w:val="zy-gr-bj26"/>
    <w:basedOn w:val="20"/>
    <w:qFormat/>
    <w:uiPriority w:val="0"/>
  </w:style>
  <w:style w:type="character" w:customStyle="1" w:styleId="80">
    <w:name w:val="xtb-fr-20"/>
    <w:basedOn w:val="20"/>
    <w:qFormat/>
    <w:uiPriority w:val="0"/>
  </w:style>
  <w:style w:type="character" w:customStyle="1" w:styleId="81">
    <w:name w:val="xtb-gr-18"/>
    <w:basedOn w:val="20"/>
    <w:qFormat/>
    <w:uiPriority w:val="0"/>
  </w:style>
  <w:style w:type="character" w:customStyle="1" w:styleId="82">
    <w:name w:val="zy-fr-bj16"/>
    <w:basedOn w:val="20"/>
    <w:qFormat/>
    <w:uiPriority w:val="0"/>
  </w:style>
  <w:style w:type="character" w:customStyle="1" w:styleId="83">
    <w:name w:val="zy-fr-bj11"/>
    <w:basedOn w:val="20"/>
    <w:qFormat/>
    <w:uiPriority w:val="0"/>
  </w:style>
  <w:style w:type="character" w:customStyle="1" w:styleId="84">
    <w:name w:val="xtb-gr-04"/>
    <w:basedOn w:val="20"/>
    <w:qFormat/>
    <w:uiPriority w:val="0"/>
  </w:style>
  <w:style w:type="character" w:customStyle="1" w:styleId="85">
    <w:name w:val="xtb-gr-20"/>
    <w:basedOn w:val="20"/>
    <w:qFormat/>
    <w:uiPriority w:val="0"/>
  </w:style>
  <w:style w:type="character" w:customStyle="1" w:styleId="86">
    <w:name w:val="zx-span3"/>
    <w:basedOn w:val="20"/>
    <w:qFormat/>
    <w:uiPriority w:val="0"/>
  </w:style>
  <w:style w:type="character" w:customStyle="1" w:styleId="87">
    <w:name w:val="xtb-fr-02"/>
    <w:basedOn w:val="20"/>
    <w:qFormat/>
    <w:uiPriority w:val="0"/>
  </w:style>
  <w:style w:type="character" w:customStyle="1" w:styleId="88">
    <w:name w:val="zy-gr-bj13"/>
    <w:basedOn w:val="20"/>
    <w:qFormat/>
    <w:uiPriority w:val="0"/>
  </w:style>
  <w:style w:type="character" w:customStyle="1" w:styleId="89">
    <w:name w:val="zy-gr-bj7"/>
    <w:basedOn w:val="20"/>
    <w:qFormat/>
    <w:uiPriority w:val="0"/>
  </w:style>
  <w:style w:type="character" w:customStyle="1" w:styleId="90">
    <w:name w:val="zy-fr-bj26"/>
    <w:basedOn w:val="20"/>
    <w:qFormat/>
    <w:uiPriority w:val="0"/>
  </w:style>
  <w:style w:type="character" w:customStyle="1" w:styleId="91">
    <w:name w:val="zy-gr-bj11"/>
    <w:basedOn w:val="20"/>
    <w:qFormat/>
    <w:uiPriority w:val="0"/>
  </w:style>
  <w:style w:type="character" w:customStyle="1" w:styleId="92">
    <w:name w:val="zx-span31"/>
    <w:basedOn w:val="20"/>
    <w:qFormat/>
    <w:uiPriority w:val="0"/>
    <w:rPr>
      <w:color w:val="FFFFFF"/>
    </w:rPr>
  </w:style>
  <w:style w:type="character" w:customStyle="1" w:styleId="93">
    <w:name w:val="xtb-fr-08"/>
    <w:basedOn w:val="20"/>
    <w:qFormat/>
    <w:uiPriority w:val="0"/>
  </w:style>
  <w:style w:type="character" w:customStyle="1" w:styleId="94">
    <w:name w:val="zy-fr-bj20"/>
    <w:basedOn w:val="20"/>
    <w:qFormat/>
    <w:uiPriority w:val="0"/>
  </w:style>
  <w:style w:type="character" w:customStyle="1" w:styleId="95">
    <w:name w:val="xtb-gr-19"/>
    <w:basedOn w:val="20"/>
    <w:qFormat/>
    <w:uiPriority w:val="0"/>
  </w:style>
  <w:style w:type="character" w:customStyle="1" w:styleId="96">
    <w:name w:val="xtb-gr-07"/>
    <w:basedOn w:val="20"/>
    <w:qFormat/>
    <w:uiPriority w:val="0"/>
  </w:style>
  <w:style w:type="character" w:customStyle="1" w:styleId="97">
    <w:name w:val="zy-fr-bj30"/>
    <w:basedOn w:val="20"/>
    <w:qFormat/>
    <w:uiPriority w:val="0"/>
  </w:style>
  <w:style w:type="character" w:customStyle="1" w:styleId="98">
    <w:name w:val="zy-gr-bj12"/>
    <w:basedOn w:val="20"/>
    <w:qFormat/>
    <w:uiPriority w:val="0"/>
  </w:style>
  <w:style w:type="character" w:customStyle="1" w:styleId="99">
    <w:name w:val="xtb-fr-17"/>
    <w:basedOn w:val="20"/>
    <w:qFormat/>
    <w:uiPriority w:val="0"/>
  </w:style>
  <w:style w:type="character" w:customStyle="1" w:styleId="100">
    <w:name w:val="hdjl-x-l-x-sp1"/>
    <w:basedOn w:val="20"/>
    <w:qFormat/>
    <w:uiPriority w:val="0"/>
    <w:rPr>
      <w:color w:val="BFBFBF"/>
      <w:sz w:val="24"/>
      <w:szCs w:val="24"/>
    </w:rPr>
  </w:style>
  <w:style w:type="character" w:customStyle="1" w:styleId="101">
    <w:name w:val="r-5-l-sp2"/>
    <w:basedOn w:val="20"/>
    <w:qFormat/>
    <w:uiPriority w:val="0"/>
  </w:style>
  <w:style w:type="character" w:customStyle="1" w:styleId="102">
    <w:name w:val="xtb-fr-07"/>
    <w:basedOn w:val="20"/>
    <w:qFormat/>
    <w:uiPriority w:val="0"/>
  </w:style>
  <w:style w:type="character" w:customStyle="1" w:styleId="103">
    <w:name w:val="xtb-fr-09"/>
    <w:basedOn w:val="20"/>
    <w:qFormat/>
    <w:uiPriority w:val="0"/>
  </w:style>
  <w:style w:type="character" w:customStyle="1" w:styleId="104">
    <w:name w:val="zy-fr-bj14"/>
    <w:basedOn w:val="20"/>
    <w:qFormat/>
    <w:uiPriority w:val="0"/>
  </w:style>
  <w:style w:type="character" w:customStyle="1" w:styleId="105">
    <w:name w:val="zy-gr-bj21"/>
    <w:basedOn w:val="20"/>
    <w:qFormat/>
    <w:uiPriority w:val="0"/>
  </w:style>
  <w:style w:type="character" w:customStyle="1" w:styleId="106">
    <w:name w:val="bsfw-sp21"/>
    <w:basedOn w:val="20"/>
    <w:qFormat/>
    <w:uiPriority w:val="0"/>
    <w:rPr>
      <w:color w:val="FFFFFF"/>
      <w:shd w:val="clear" w:color="auto" w:fill="277E37"/>
    </w:rPr>
  </w:style>
  <w:style w:type="character" w:customStyle="1" w:styleId="107">
    <w:name w:val="xtb-fr-15"/>
    <w:basedOn w:val="20"/>
    <w:qFormat/>
    <w:uiPriority w:val="0"/>
  </w:style>
  <w:style w:type="character" w:customStyle="1" w:styleId="108">
    <w:name w:val="zy-gr-bj27"/>
    <w:basedOn w:val="20"/>
    <w:qFormat/>
    <w:uiPriority w:val="0"/>
  </w:style>
  <w:style w:type="character" w:customStyle="1" w:styleId="109">
    <w:name w:val="zy-gr-bj20"/>
    <w:basedOn w:val="20"/>
    <w:qFormat/>
    <w:uiPriority w:val="0"/>
  </w:style>
  <w:style w:type="character" w:customStyle="1" w:styleId="110">
    <w:name w:val="zx-span2"/>
    <w:basedOn w:val="20"/>
    <w:qFormat/>
    <w:uiPriority w:val="0"/>
  </w:style>
  <w:style w:type="character" w:customStyle="1" w:styleId="111">
    <w:name w:val="zx-xuan41"/>
    <w:basedOn w:val="20"/>
    <w:qFormat/>
    <w:uiPriority w:val="0"/>
    <w:rPr>
      <w:shd w:val="clear" w:color="auto" w:fill="FFFFFF"/>
    </w:rPr>
  </w:style>
  <w:style w:type="character" w:customStyle="1" w:styleId="112">
    <w:name w:val="xtb-gr-12"/>
    <w:basedOn w:val="20"/>
    <w:qFormat/>
    <w:uiPriority w:val="0"/>
  </w:style>
  <w:style w:type="character" w:customStyle="1" w:styleId="113">
    <w:name w:val="zy-fr-bj1"/>
    <w:basedOn w:val="20"/>
    <w:qFormat/>
    <w:uiPriority w:val="0"/>
  </w:style>
  <w:style w:type="character" w:customStyle="1" w:styleId="114">
    <w:name w:val="hover111"/>
    <w:basedOn w:val="20"/>
    <w:qFormat/>
    <w:uiPriority w:val="0"/>
    <w:rPr>
      <w:color w:val="CA1C1D"/>
    </w:rPr>
  </w:style>
  <w:style w:type="character" w:customStyle="1" w:styleId="115">
    <w:name w:val="xtb-gr-08"/>
    <w:basedOn w:val="20"/>
    <w:qFormat/>
    <w:uiPriority w:val="0"/>
  </w:style>
  <w:style w:type="character" w:customStyle="1" w:styleId="116">
    <w:name w:val="zx-xuan15"/>
    <w:basedOn w:val="20"/>
    <w:qFormat/>
    <w:uiPriority w:val="0"/>
    <w:rPr>
      <w:color w:val="FFFFFF"/>
    </w:rPr>
  </w:style>
  <w:style w:type="character" w:customStyle="1" w:styleId="117">
    <w:name w:val="xtb-fr-19"/>
    <w:basedOn w:val="20"/>
    <w:qFormat/>
    <w:uiPriority w:val="0"/>
  </w:style>
  <w:style w:type="character" w:customStyle="1" w:styleId="118">
    <w:name w:val="xtb-fr-06"/>
    <w:basedOn w:val="20"/>
    <w:qFormat/>
    <w:uiPriority w:val="0"/>
  </w:style>
  <w:style w:type="character" w:customStyle="1" w:styleId="119">
    <w:name w:val="xtb-fr-01"/>
    <w:basedOn w:val="20"/>
    <w:qFormat/>
    <w:uiPriority w:val="0"/>
  </w:style>
  <w:style w:type="character" w:customStyle="1" w:styleId="120">
    <w:name w:val="xtb-fr-18"/>
    <w:basedOn w:val="20"/>
    <w:qFormat/>
    <w:uiPriority w:val="0"/>
  </w:style>
  <w:style w:type="character" w:customStyle="1" w:styleId="121">
    <w:name w:val="zy-fr-bj28"/>
    <w:basedOn w:val="20"/>
    <w:qFormat/>
    <w:uiPriority w:val="0"/>
  </w:style>
  <w:style w:type="character" w:customStyle="1" w:styleId="122">
    <w:name w:val="zx-xuan4"/>
    <w:basedOn w:val="20"/>
    <w:qFormat/>
    <w:uiPriority w:val="0"/>
    <w:rPr>
      <w:shd w:val="clear" w:color="auto" w:fill="FFFFFF"/>
    </w:rPr>
  </w:style>
  <w:style w:type="character" w:customStyle="1" w:styleId="123">
    <w:name w:val="xtb-fr-12"/>
    <w:basedOn w:val="20"/>
    <w:qFormat/>
    <w:uiPriority w:val="0"/>
  </w:style>
  <w:style w:type="character" w:customStyle="1" w:styleId="124">
    <w:name w:val="xtb-fr-05"/>
    <w:basedOn w:val="20"/>
    <w:qFormat/>
    <w:uiPriority w:val="0"/>
  </w:style>
  <w:style w:type="character" w:customStyle="1" w:styleId="125">
    <w:name w:val="zy-fr-bj6"/>
    <w:basedOn w:val="20"/>
    <w:qFormat/>
    <w:uiPriority w:val="0"/>
  </w:style>
  <w:style w:type="character" w:customStyle="1" w:styleId="126">
    <w:name w:val="hdjl-x-l-m-sp2"/>
    <w:basedOn w:val="20"/>
    <w:qFormat/>
    <w:uiPriority w:val="0"/>
  </w:style>
  <w:style w:type="character" w:customStyle="1" w:styleId="127">
    <w:name w:val="zx-span51"/>
    <w:basedOn w:val="20"/>
    <w:qFormat/>
    <w:uiPriority w:val="0"/>
    <w:rPr>
      <w:color w:val="FFFFFF"/>
    </w:rPr>
  </w:style>
  <w:style w:type="character" w:customStyle="1" w:styleId="128">
    <w:name w:val="zy-fr-bj25"/>
    <w:basedOn w:val="20"/>
    <w:qFormat/>
    <w:uiPriority w:val="0"/>
  </w:style>
  <w:style w:type="character" w:customStyle="1" w:styleId="129">
    <w:name w:val="zy-fr-bj7"/>
    <w:basedOn w:val="20"/>
    <w:qFormat/>
    <w:uiPriority w:val="0"/>
  </w:style>
  <w:style w:type="character" w:customStyle="1" w:styleId="130">
    <w:name w:val="xtb-gr-05"/>
    <w:basedOn w:val="20"/>
    <w:qFormat/>
    <w:uiPriority w:val="0"/>
  </w:style>
  <w:style w:type="character" w:customStyle="1" w:styleId="131">
    <w:name w:val="bsfw-sp31"/>
    <w:basedOn w:val="20"/>
    <w:qFormat/>
    <w:uiPriority w:val="0"/>
    <w:rPr>
      <w:color w:val="FFFFFF"/>
      <w:shd w:val="clear" w:color="auto" w:fill="277E37"/>
    </w:rPr>
  </w:style>
  <w:style w:type="character" w:customStyle="1" w:styleId="132">
    <w:name w:val="xtb-fr-22"/>
    <w:basedOn w:val="20"/>
    <w:qFormat/>
    <w:uiPriority w:val="0"/>
  </w:style>
  <w:style w:type="character" w:customStyle="1" w:styleId="133">
    <w:name w:val="zy-fr-bj4"/>
    <w:basedOn w:val="20"/>
    <w:qFormat/>
    <w:uiPriority w:val="0"/>
  </w:style>
  <w:style w:type="character" w:customStyle="1" w:styleId="134">
    <w:name w:val="xtb-fr-03"/>
    <w:basedOn w:val="20"/>
    <w:qFormat/>
    <w:uiPriority w:val="0"/>
  </w:style>
  <w:style w:type="character" w:customStyle="1" w:styleId="135">
    <w:name w:val="zy-fr-bj27"/>
    <w:basedOn w:val="20"/>
    <w:qFormat/>
    <w:uiPriority w:val="0"/>
  </w:style>
  <w:style w:type="character" w:customStyle="1" w:styleId="136">
    <w:name w:val="xtb-gr-03"/>
    <w:basedOn w:val="20"/>
    <w:qFormat/>
    <w:uiPriority w:val="0"/>
  </w:style>
  <w:style w:type="character" w:customStyle="1" w:styleId="137">
    <w:name w:val="bsfw-sp1"/>
    <w:basedOn w:val="20"/>
    <w:qFormat/>
    <w:uiPriority w:val="0"/>
  </w:style>
  <w:style w:type="character" w:customStyle="1" w:styleId="138">
    <w:name w:val="xtb-gr-02"/>
    <w:basedOn w:val="20"/>
    <w:qFormat/>
    <w:uiPriority w:val="0"/>
  </w:style>
  <w:style w:type="character" w:customStyle="1" w:styleId="139">
    <w:name w:val="zy-fr-bj2"/>
    <w:basedOn w:val="20"/>
    <w:qFormat/>
    <w:uiPriority w:val="0"/>
  </w:style>
  <w:style w:type="character" w:customStyle="1" w:styleId="140">
    <w:name w:val="r-5-l-sp3"/>
    <w:basedOn w:val="20"/>
    <w:qFormat/>
    <w:uiPriority w:val="0"/>
  </w:style>
  <w:style w:type="character" w:customStyle="1" w:styleId="141">
    <w:name w:val="zx-span21"/>
    <w:basedOn w:val="20"/>
    <w:qFormat/>
    <w:uiPriority w:val="0"/>
    <w:rPr>
      <w:color w:val="FFFFFF"/>
    </w:rPr>
  </w:style>
  <w:style w:type="character" w:customStyle="1" w:styleId="142">
    <w:name w:val="xtb-gr-15"/>
    <w:basedOn w:val="20"/>
    <w:qFormat/>
    <w:uiPriority w:val="0"/>
  </w:style>
  <w:style w:type="character" w:customStyle="1" w:styleId="143">
    <w:name w:val="zy-gr-bj10"/>
    <w:basedOn w:val="20"/>
    <w:qFormat/>
    <w:uiPriority w:val="0"/>
  </w:style>
  <w:style w:type="character" w:customStyle="1" w:styleId="144">
    <w:name w:val="xtb-fr-04"/>
    <w:basedOn w:val="20"/>
    <w:qFormat/>
    <w:uiPriority w:val="0"/>
  </w:style>
  <w:style w:type="character" w:customStyle="1" w:styleId="145">
    <w:name w:val="zy-gr-bj9"/>
    <w:basedOn w:val="20"/>
    <w:qFormat/>
    <w:uiPriority w:val="0"/>
  </w:style>
  <w:style w:type="character" w:customStyle="1" w:styleId="146">
    <w:name w:val="xtb-fr-24"/>
    <w:basedOn w:val="20"/>
    <w:qFormat/>
    <w:uiPriority w:val="0"/>
  </w:style>
  <w:style w:type="character" w:customStyle="1" w:styleId="147">
    <w:name w:val="zwfw-sp2"/>
    <w:basedOn w:val="20"/>
    <w:qFormat/>
    <w:uiPriority w:val="0"/>
  </w:style>
  <w:style w:type="character" w:customStyle="1" w:styleId="148">
    <w:name w:val="zy-gr-bj1"/>
    <w:basedOn w:val="20"/>
    <w:qFormat/>
    <w:uiPriority w:val="0"/>
  </w:style>
  <w:style w:type="character" w:customStyle="1" w:styleId="149">
    <w:name w:val="xtb-fr-16"/>
    <w:basedOn w:val="20"/>
    <w:qFormat/>
    <w:uiPriority w:val="0"/>
  </w:style>
  <w:style w:type="character" w:customStyle="1" w:styleId="150">
    <w:name w:val="ndata"/>
    <w:basedOn w:val="20"/>
    <w:qFormat/>
    <w:uiPriority w:val="0"/>
    <w:rPr>
      <w:color w:val="AAAAAA"/>
    </w:rPr>
  </w:style>
  <w:style w:type="character" w:customStyle="1" w:styleId="151">
    <w:name w:val="zy-fr-bj18"/>
    <w:basedOn w:val="20"/>
    <w:qFormat/>
    <w:uiPriority w:val="0"/>
  </w:style>
  <w:style w:type="character" w:customStyle="1" w:styleId="152">
    <w:name w:val="zy-fr-bj12"/>
    <w:basedOn w:val="20"/>
    <w:qFormat/>
    <w:uiPriority w:val="0"/>
  </w:style>
  <w:style w:type="character" w:customStyle="1" w:styleId="153">
    <w:name w:val="zy-fr-bj17"/>
    <w:basedOn w:val="20"/>
    <w:qFormat/>
    <w:uiPriority w:val="0"/>
  </w:style>
  <w:style w:type="character" w:customStyle="1" w:styleId="154">
    <w:name w:val="bsfw-sp3"/>
    <w:basedOn w:val="20"/>
    <w:qFormat/>
    <w:uiPriority w:val="0"/>
  </w:style>
  <w:style w:type="character" w:customStyle="1" w:styleId="155">
    <w:name w:val="zy-gr-bj24"/>
    <w:basedOn w:val="20"/>
    <w:qFormat/>
    <w:uiPriority w:val="0"/>
  </w:style>
  <w:style w:type="character" w:customStyle="1" w:styleId="156">
    <w:name w:val="bsfw-sp11"/>
    <w:basedOn w:val="20"/>
    <w:qFormat/>
    <w:uiPriority w:val="0"/>
    <w:rPr>
      <w:color w:val="FFFFFF"/>
      <w:shd w:val="clear" w:color="auto" w:fill="277E37"/>
    </w:rPr>
  </w:style>
  <w:style w:type="character" w:customStyle="1" w:styleId="157">
    <w:name w:val="xtb-gr-16"/>
    <w:basedOn w:val="20"/>
    <w:qFormat/>
    <w:uiPriority w:val="0"/>
  </w:style>
  <w:style w:type="character" w:customStyle="1" w:styleId="158">
    <w:name w:val="zy-gr-bj16"/>
    <w:basedOn w:val="20"/>
    <w:qFormat/>
    <w:uiPriority w:val="0"/>
  </w:style>
  <w:style w:type="character" w:customStyle="1" w:styleId="159">
    <w:name w:val="zx-span4"/>
    <w:basedOn w:val="20"/>
    <w:qFormat/>
    <w:uiPriority w:val="0"/>
  </w:style>
  <w:style w:type="paragraph" w:customStyle="1" w:styleId="160">
    <w:name w:val="正文首行缩进两字符"/>
    <w:basedOn w:val="1"/>
    <w:qFormat/>
    <w:uiPriority w:val="0"/>
    <w:pPr>
      <w:spacing w:line="360" w:lineRule="auto"/>
      <w:ind w:firstLine="200" w:firstLineChars="200"/>
    </w:pPr>
    <w:rPr>
      <w:szCs w:val="24"/>
    </w:rPr>
  </w:style>
  <w:style w:type="paragraph" w:customStyle="1" w:styleId="161">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2">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3">
    <w:name w:val="List Paragraph"/>
    <w:basedOn w:val="1"/>
    <w:qFormat/>
    <w:uiPriority w:val="0"/>
    <w:pPr>
      <w:ind w:firstLine="420" w:firstLineChars="200"/>
    </w:pPr>
    <w:rPr>
      <w:rFonts w:ascii="Calibri" w:hAnsi="Calibri"/>
      <w:szCs w:val="22"/>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样式2"/>
    <w:basedOn w:val="1"/>
    <w:qFormat/>
    <w:uiPriority w:val="0"/>
    <w:pPr>
      <w:spacing w:line="300" w:lineRule="auto"/>
      <w:jc w:val="center"/>
      <w:outlineLvl w:val="0"/>
    </w:pPr>
    <w:rPr>
      <w:b/>
      <w:sz w:val="24"/>
    </w:rPr>
  </w:style>
  <w:style w:type="paragraph" w:customStyle="1" w:styleId="166">
    <w:name w:val="Heading #2|1"/>
    <w:basedOn w:val="1"/>
    <w:qFormat/>
    <w:uiPriority w:val="0"/>
    <w:pPr>
      <w:widowControl w:val="0"/>
      <w:shd w:val="clear" w:color="auto" w:fill="auto"/>
      <w:outlineLvl w:val="1"/>
    </w:pPr>
    <w:rPr>
      <w:rFonts w:ascii="宋体" w:hAnsi="宋体" w:eastAsia="宋体" w:cs="宋体"/>
      <w:sz w:val="56"/>
      <w:szCs w:val="56"/>
      <w:u w:val="none"/>
      <w:shd w:val="clear" w:color="auto" w:fill="auto"/>
      <w:lang w:val="zh-TW" w:eastAsia="zh-TW" w:bidi="zh-TW"/>
    </w:rPr>
  </w:style>
  <w:style w:type="character" w:customStyle="1" w:styleId="167">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zhoushuhai\2022&#24180;\&#37319;&#36141;\&#39033;&#30446;\&#33258;&#34892;&#32452;&#32455;\22&#24180;6&#26376;\&#26381;&#21153;&#20445;&#38556;&#20013;&#24515;%20%20%20&#39135;&#22530;&#21047;&#21345;&#31995;&#32479;\&#39135;&#22530;&#23601;&#39184;&#21047;&#21345;&#31995;&#32479;%20%20&#27604;&#2021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食堂就餐刷卡系统  比价文件.dot</Template>
  <Pages>20</Pages>
  <Words>6209</Words>
  <Characters>6360</Characters>
  <Lines>15</Lines>
  <Paragraphs>4</Paragraphs>
  <TotalTime>26</TotalTime>
  <ScaleCrop>false</ScaleCrop>
  <LinksUpToDate>false</LinksUpToDate>
  <CharactersWithSpaces>6673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2022-06-21T16:12:00Z</dcterms:created>
  <dc:creator>大海</dc:creator>
  <cp:lastModifiedBy>user</cp:lastModifiedBy>
  <cp:lastPrinted>2022-11-14T21:50:00Z</cp:lastPrinted>
  <dcterms:modified xsi:type="dcterms:W3CDTF">2025-04-23T16:53:41Z</dcterms:modified>
  <dc:title>科学城公安分局业务装备采购询价函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4DE024B4DB3B48A590EECE66B0B1116A_43</vt:lpwstr>
  </property>
</Properties>
</file>