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C042A" w14:textId="77777777" w:rsidR="009C4F3C" w:rsidRDefault="009C4F3C">
      <w:bookmarkStart w:id="0" w:name="_Toc15396475"/>
      <w:bookmarkStart w:id="1" w:name="_Toc15378441"/>
      <w:bookmarkStart w:id="2" w:name="_Toc15396597"/>
      <w:bookmarkStart w:id="3" w:name="_Toc15306267"/>
      <w:bookmarkStart w:id="4" w:name="_Toc15377193"/>
      <w:bookmarkStart w:id="5" w:name="_Toc15377425"/>
    </w:p>
    <w:p w14:paraId="04F89DF9" w14:textId="77777777" w:rsidR="009C4F3C" w:rsidRDefault="009C4F3C">
      <w:pPr>
        <w:pStyle w:val="a3"/>
        <w:spacing w:before="93"/>
        <w:jc w:val="center"/>
        <w:rPr>
          <w:rFonts w:ascii="方正小标宋简体" w:eastAsia="方正小标宋简体" w:hAnsi="宋体" w:hint="eastAsia"/>
          <w:kern w:val="2"/>
          <w:sz w:val="44"/>
          <w:szCs w:val="44"/>
        </w:rPr>
      </w:pPr>
    </w:p>
    <w:p w14:paraId="50D0FD59" w14:textId="77777777" w:rsidR="009C4F3C" w:rsidRDefault="009C4F3C">
      <w:pPr>
        <w:pStyle w:val="a3"/>
        <w:spacing w:before="93"/>
        <w:jc w:val="center"/>
        <w:rPr>
          <w:rFonts w:ascii="方正小标宋简体" w:eastAsia="方正小标宋简体" w:hAnsi="宋体" w:hint="eastAsia"/>
          <w:kern w:val="2"/>
          <w:sz w:val="44"/>
          <w:szCs w:val="44"/>
        </w:rPr>
      </w:pPr>
    </w:p>
    <w:p w14:paraId="75876625" w14:textId="77777777" w:rsidR="0046508B" w:rsidRDefault="0046508B">
      <w:pPr>
        <w:adjustRightInd w:val="0"/>
        <w:snapToGrid w:val="0"/>
        <w:spacing w:line="360" w:lineRule="auto"/>
        <w:jc w:val="center"/>
        <w:outlineLvl w:val="0"/>
        <w:rPr>
          <w:rFonts w:ascii="方正小标宋简体" w:eastAsia="方正小标宋简体" w:hAnsi="方正小标宋简体" w:cs="方正小标宋简体" w:hint="eastAsia"/>
          <w:sz w:val="72"/>
          <w:szCs w:val="72"/>
        </w:rPr>
      </w:pPr>
      <w:bookmarkStart w:id="6" w:name="_Toc24007"/>
      <w:bookmarkEnd w:id="0"/>
      <w:bookmarkEnd w:id="1"/>
      <w:bookmarkEnd w:id="2"/>
      <w:bookmarkEnd w:id="3"/>
      <w:bookmarkEnd w:id="4"/>
      <w:bookmarkEnd w:id="5"/>
      <w:r>
        <w:rPr>
          <w:rFonts w:ascii="方正小标宋简体" w:eastAsia="方正小标宋简体" w:hAnsi="方正小标宋简体" w:cs="方正小标宋简体" w:hint="eastAsia"/>
          <w:sz w:val="72"/>
          <w:szCs w:val="72"/>
        </w:rPr>
        <w:t>2023年度</w:t>
      </w:r>
      <w:bookmarkStart w:id="7" w:name="_Toc22867"/>
      <w:bookmarkStart w:id="8" w:name="_Toc15377426"/>
      <w:bookmarkStart w:id="9" w:name="_Toc15396598"/>
      <w:bookmarkStart w:id="10" w:name="_Toc15396476"/>
      <w:bookmarkStart w:id="11" w:name="_Toc15378442"/>
      <w:bookmarkStart w:id="12" w:name="_Toc15377194"/>
      <w:bookmarkEnd w:id="6"/>
    </w:p>
    <w:p w14:paraId="666692F9" w14:textId="77777777" w:rsidR="0046508B" w:rsidRDefault="0046508B">
      <w:pPr>
        <w:adjustRightInd w:val="0"/>
        <w:snapToGrid w:val="0"/>
        <w:spacing w:line="360" w:lineRule="auto"/>
        <w:jc w:val="center"/>
        <w:outlineLvl w:val="0"/>
        <w:rPr>
          <w:rFonts w:ascii="方正小标宋简体" w:eastAsia="方正小标宋简体" w:hAnsi="方正小标宋简体" w:cs="方正小标宋简体" w:hint="eastAsia"/>
          <w:sz w:val="72"/>
          <w:szCs w:val="72"/>
        </w:rPr>
      </w:pPr>
      <w:r>
        <w:rPr>
          <w:rFonts w:ascii="方正小标宋简体" w:eastAsia="方正小标宋简体" w:hAnsi="方正小标宋简体" w:cs="方正小标宋简体" w:hint="eastAsia"/>
          <w:spacing w:val="-20"/>
          <w:sz w:val="72"/>
          <w:szCs w:val="72"/>
        </w:rPr>
        <w:t>四川省</w:t>
      </w:r>
      <w:bookmarkStart w:id="13" w:name="_Toc15306268"/>
      <w:r>
        <w:rPr>
          <w:rFonts w:ascii="方正小标宋简体" w:eastAsia="方正小标宋简体" w:hAnsi="方正小标宋简体" w:cs="方正小标宋简体" w:hint="eastAsia"/>
          <w:spacing w:val="-20"/>
          <w:sz w:val="72"/>
          <w:szCs w:val="72"/>
        </w:rPr>
        <w:t>人民政府科学城办事处</w:t>
      </w:r>
      <w:bookmarkStart w:id="14" w:name="_Toc498"/>
      <w:bookmarkEnd w:id="7"/>
      <w:r>
        <w:rPr>
          <w:rFonts w:ascii="方正小标宋简体" w:eastAsia="方正小标宋简体" w:hAnsi="方正小标宋简体" w:cs="方正小标宋简体" w:hint="eastAsia"/>
          <w:sz w:val="72"/>
          <w:szCs w:val="72"/>
        </w:rPr>
        <w:t>部门决算</w:t>
      </w:r>
      <w:bookmarkEnd w:id="8"/>
      <w:bookmarkEnd w:id="9"/>
      <w:bookmarkEnd w:id="10"/>
      <w:bookmarkEnd w:id="11"/>
      <w:bookmarkEnd w:id="12"/>
      <w:bookmarkEnd w:id="13"/>
      <w:bookmarkEnd w:id="14"/>
    </w:p>
    <w:p w14:paraId="6B590A2A" w14:textId="77777777" w:rsidR="009C4F3C" w:rsidRDefault="00EF39FE">
      <w:pPr>
        <w:widowControl/>
        <w:jc w:val="center"/>
        <w:rPr>
          <w:rFonts w:ascii="黑体" w:eastAsia="黑体" w:hAnsi="黑体" w:hint="eastAsia"/>
          <w:sz w:val="44"/>
          <w:szCs w:val="44"/>
        </w:rPr>
      </w:pPr>
      <w:r>
        <w:rPr>
          <w:rFonts w:ascii="方正小标宋简体" w:eastAsia="方正小标宋简体" w:hAnsi="宋体"/>
          <w:sz w:val="36"/>
          <w:szCs w:val="36"/>
        </w:rPr>
        <w:br w:type="page"/>
      </w:r>
      <w:r>
        <w:rPr>
          <w:rFonts w:ascii="黑体" w:eastAsia="黑体" w:hAnsi="黑体" w:hint="eastAsia"/>
          <w:sz w:val="44"/>
          <w:szCs w:val="44"/>
        </w:rPr>
        <w:lastRenderedPageBreak/>
        <w:t>目录</w:t>
      </w:r>
    </w:p>
    <w:p w14:paraId="51E7E9F0" w14:textId="77777777" w:rsidR="009C4F3C" w:rsidRDefault="009C4F3C">
      <w:pPr>
        <w:widowControl/>
        <w:jc w:val="center"/>
        <w:rPr>
          <w:rFonts w:ascii="黑体" w:eastAsia="黑体" w:hAnsi="黑体" w:cstheme="minorBidi" w:hint="eastAsia"/>
          <w:sz w:val="28"/>
          <w:szCs w:val="28"/>
        </w:rPr>
      </w:pPr>
    </w:p>
    <w:p w14:paraId="49067F9E" w14:textId="41754CBC" w:rsidR="009C4F3C" w:rsidRDefault="00EF39FE">
      <w:pPr>
        <w:pStyle w:val="TOC1"/>
        <w:spacing w:line="560" w:lineRule="exact"/>
        <w:rPr>
          <w:rFonts w:hint="eastAsia"/>
        </w:rPr>
      </w:pPr>
      <w:r>
        <w:rPr>
          <w:rFonts w:hint="eastAsia"/>
        </w:rPr>
        <w:t>公开时间：202</w:t>
      </w:r>
      <w:r w:rsidR="0046508B">
        <w:rPr>
          <w:rFonts w:hint="eastAsia"/>
        </w:rPr>
        <w:t>4</w:t>
      </w:r>
      <w:r>
        <w:rPr>
          <w:rFonts w:hint="eastAsia"/>
        </w:rPr>
        <w:t xml:space="preserve">年9月 </w:t>
      </w:r>
      <w:r w:rsidR="0046508B">
        <w:rPr>
          <w:rFonts w:hint="eastAsia"/>
        </w:rPr>
        <w:t>2</w:t>
      </w:r>
      <w:r>
        <w:rPr>
          <w:rFonts w:hint="eastAsia"/>
        </w:rPr>
        <w:t xml:space="preserve"> 日</w:t>
      </w:r>
    </w:p>
    <w:p w14:paraId="195AABAA" w14:textId="77777777" w:rsidR="009C4F3C" w:rsidRDefault="009C4F3C"/>
    <w:p w14:paraId="46785560" w14:textId="3EB54E78" w:rsidR="009C4F3C" w:rsidRDefault="00EF39FE">
      <w:pPr>
        <w:pStyle w:val="TOC1"/>
        <w:adjustRightInd w:val="0"/>
        <w:snapToGrid w:val="0"/>
        <w:spacing w:before="0" w:line="440" w:lineRule="exact"/>
        <w:ind w:left="280" w:hangingChars="100" w:hanging="280"/>
        <w:jc w:val="left"/>
        <w:rPr>
          <w:rFonts w:ascii="黑体" w:eastAsia="黑体" w:hAnsi="黑体" w:hint="eastAsia"/>
        </w:rPr>
      </w:pPr>
      <w:r>
        <w:rPr>
          <w:rFonts w:ascii="黑体" w:eastAsia="黑体" w:hAnsi="黑体" w:hint="eastAsia"/>
        </w:rPr>
        <w:t xml:space="preserve">第一部分 单位概况 </w:t>
      </w:r>
      <w:r>
        <w:tab/>
      </w:r>
      <w:r>
        <w:fldChar w:fldCharType="begin"/>
      </w:r>
      <w:r>
        <w:instrText xml:space="preserve"> PAGEREF _Toc1273 </w:instrText>
      </w:r>
      <w:r>
        <w:fldChar w:fldCharType="separate"/>
      </w:r>
      <w:r>
        <w:t>4</w:t>
      </w:r>
      <w:r>
        <w:fldChar w:fldCharType="end"/>
      </w:r>
      <w:r>
        <w:rPr>
          <w:rFonts w:hint="eastAsia"/>
        </w:rPr>
        <w:t xml:space="preserve"> </w:t>
      </w:r>
    </w:p>
    <w:p w14:paraId="11701BB2" w14:textId="77777777" w:rsidR="009C4F3C" w:rsidRDefault="00EF39FE">
      <w:pPr>
        <w:pStyle w:val="TOC2"/>
        <w:tabs>
          <w:tab w:val="clear" w:pos="8296"/>
          <w:tab w:val="right" w:leader="dot" w:pos="8845"/>
        </w:tabs>
        <w:spacing w:line="600" w:lineRule="exact"/>
      </w:pPr>
      <w:r>
        <w:rPr>
          <w:rFonts w:hint="eastAsia"/>
        </w:rPr>
        <w:t>一、单位职责</w:t>
      </w:r>
      <w:r>
        <w:tab/>
      </w:r>
      <w:r>
        <w:fldChar w:fldCharType="begin"/>
      </w:r>
      <w:r>
        <w:instrText xml:space="preserve"> PAGEREF _Toc1273 </w:instrText>
      </w:r>
      <w:r>
        <w:fldChar w:fldCharType="separate"/>
      </w:r>
      <w:r>
        <w:t>4</w:t>
      </w:r>
      <w:r>
        <w:fldChar w:fldCharType="end"/>
      </w:r>
    </w:p>
    <w:p w14:paraId="14E32AA6" w14:textId="77777777" w:rsidR="009C4F3C" w:rsidRDefault="00EF39FE">
      <w:pPr>
        <w:pStyle w:val="TOC2"/>
        <w:tabs>
          <w:tab w:val="clear" w:pos="8296"/>
          <w:tab w:val="right" w:leader="dot" w:pos="8845"/>
        </w:tabs>
        <w:spacing w:line="600" w:lineRule="exact"/>
      </w:pPr>
      <w:r>
        <w:rPr>
          <w:rFonts w:hint="eastAsia"/>
        </w:rPr>
        <w:t>二、机构设置</w:t>
      </w:r>
      <w:r>
        <w:tab/>
      </w:r>
      <w:r>
        <w:fldChar w:fldCharType="begin"/>
      </w:r>
      <w:r>
        <w:instrText xml:space="preserve"> PAGEREF _Toc1273 </w:instrText>
      </w:r>
      <w:r>
        <w:fldChar w:fldCharType="separate"/>
      </w:r>
      <w:r>
        <w:t>4</w:t>
      </w:r>
      <w:r>
        <w:fldChar w:fldCharType="end"/>
      </w:r>
    </w:p>
    <w:p w14:paraId="69E7D182" w14:textId="77777777" w:rsidR="009C4F3C" w:rsidRDefault="00EF39FE">
      <w:pPr>
        <w:pStyle w:val="TOC1"/>
        <w:adjustRightInd w:val="0"/>
        <w:snapToGrid w:val="0"/>
        <w:spacing w:before="0" w:line="440" w:lineRule="exact"/>
        <w:jc w:val="left"/>
        <w:rPr>
          <w:rFonts w:ascii="黑体" w:hAnsi="黑体" w:hint="eastAsia"/>
        </w:rPr>
      </w:pPr>
      <w:r>
        <w:rPr>
          <w:rFonts w:ascii="黑体" w:eastAsia="黑体" w:hAnsi="黑体" w:hint="eastAsia"/>
        </w:rPr>
        <w:t>第二部分 2023年度部门决算情况说明</w:t>
      </w:r>
      <w:r>
        <w:tab/>
      </w:r>
      <w:r>
        <w:rPr>
          <w:rFonts w:hint="eastAsia"/>
        </w:rPr>
        <w:t>5</w:t>
      </w:r>
    </w:p>
    <w:p w14:paraId="7D5D52B2"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一、收入支出决算总体情况说明</w:t>
      </w:r>
      <w:r>
        <w:tab/>
      </w:r>
      <w:r>
        <w:rPr>
          <w:rFonts w:hint="eastAsia"/>
        </w:rPr>
        <w:t>5</w:t>
      </w:r>
    </w:p>
    <w:p w14:paraId="003A7B24"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二、收入决算情况说明</w:t>
      </w:r>
      <w:r>
        <w:tab/>
      </w:r>
      <w:r>
        <w:rPr>
          <w:rFonts w:hint="eastAsia"/>
        </w:rPr>
        <w:t>6</w:t>
      </w:r>
    </w:p>
    <w:p w14:paraId="5E92CCF2"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三、支出决算情况说明</w:t>
      </w:r>
      <w:r>
        <w:tab/>
      </w:r>
      <w:r>
        <w:rPr>
          <w:rFonts w:hint="eastAsia"/>
        </w:rPr>
        <w:t>7</w:t>
      </w:r>
    </w:p>
    <w:p w14:paraId="40CD5AF3"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四、财政拨款收入支出决算总体情况说明</w:t>
      </w:r>
      <w:r>
        <w:tab/>
      </w:r>
      <w:r>
        <w:rPr>
          <w:rFonts w:hint="eastAsia"/>
        </w:rPr>
        <w:t>7</w:t>
      </w:r>
    </w:p>
    <w:p w14:paraId="2126E7E2" w14:textId="77777777" w:rsidR="009C4F3C" w:rsidRDefault="00EF39FE">
      <w:pPr>
        <w:pStyle w:val="TOC2"/>
        <w:tabs>
          <w:tab w:val="clear" w:pos="8296"/>
          <w:tab w:val="right" w:leader="dot" w:pos="8845"/>
        </w:tabs>
        <w:spacing w:line="600" w:lineRule="exact"/>
        <w:rPr>
          <w:rFonts w:ascii="黑体" w:eastAsia="黑体" w:hAnsi="黑体" w:hint="eastAsia"/>
        </w:rPr>
      </w:pPr>
      <w:r>
        <w:rPr>
          <w:rFonts w:ascii="黑体" w:eastAsia="黑体" w:hAnsi="黑体" w:hint="eastAsia"/>
        </w:rPr>
        <w:t>五、一般公共预算财政拨款支出决算情况说明</w:t>
      </w:r>
      <w:r>
        <w:tab/>
      </w:r>
      <w:r>
        <w:rPr>
          <w:rFonts w:hint="eastAsia"/>
        </w:rPr>
        <w:t xml:space="preserve">8 </w:t>
      </w:r>
    </w:p>
    <w:p w14:paraId="6C9A8724"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六、一般公共预算财政拨款基本支出决算情况说明</w:t>
      </w:r>
      <w:r>
        <w:tab/>
      </w:r>
      <w:r>
        <w:rPr>
          <w:rFonts w:hint="eastAsia"/>
        </w:rPr>
        <w:t>10</w:t>
      </w:r>
    </w:p>
    <w:p w14:paraId="7F3F5933"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七、财政拨款“三公”经费支出决算情况说明</w:t>
      </w:r>
      <w:r>
        <w:tab/>
      </w:r>
      <w:r>
        <w:rPr>
          <w:rFonts w:hint="eastAsia"/>
        </w:rPr>
        <w:t>11</w:t>
      </w:r>
    </w:p>
    <w:p w14:paraId="3C4DF3BC"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八、政府性基金预算支出决算情况说明</w:t>
      </w:r>
      <w:r>
        <w:tab/>
      </w:r>
      <w:r>
        <w:rPr>
          <w:rFonts w:hint="eastAsia"/>
        </w:rPr>
        <w:t>13</w:t>
      </w:r>
    </w:p>
    <w:p w14:paraId="158C5708"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九、国有资本经营预算支出决算情况说明</w:t>
      </w:r>
      <w:r>
        <w:tab/>
      </w:r>
      <w:r>
        <w:rPr>
          <w:rFonts w:hint="eastAsia"/>
        </w:rPr>
        <w:t>13</w:t>
      </w:r>
    </w:p>
    <w:p w14:paraId="43F37851" w14:textId="77777777" w:rsidR="009C4F3C" w:rsidRDefault="00EF39FE">
      <w:pPr>
        <w:pStyle w:val="TOC2"/>
        <w:tabs>
          <w:tab w:val="clear" w:pos="8296"/>
          <w:tab w:val="right" w:leader="dot" w:pos="8845"/>
        </w:tabs>
        <w:spacing w:line="600" w:lineRule="exact"/>
        <w:rPr>
          <w:rFonts w:ascii="黑体" w:eastAsia="黑体" w:hAnsi="黑体" w:hint="eastAsia"/>
        </w:rPr>
      </w:pPr>
      <w:r>
        <w:rPr>
          <w:rFonts w:ascii="黑体" w:eastAsia="黑体" w:hAnsi="黑体" w:hint="eastAsia"/>
        </w:rPr>
        <w:t>十、其他重要事项的情况说明</w:t>
      </w:r>
      <w:r>
        <w:tab/>
      </w:r>
      <w:r>
        <w:rPr>
          <w:rFonts w:hint="eastAsia"/>
        </w:rPr>
        <w:t>13</w:t>
      </w:r>
      <w:r>
        <w:rPr>
          <w:rFonts w:ascii="黑体" w:eastAsia="黑体" w:hAnsi="黑体" w:hint="eastAsia"/>
        </w:rPr>
        <w:tab/>
      </w:r>
    </w:p>
    <w:p w14:paraId="6E5B8DEB" w14:textId="77777777" w:rsidR="009C4F3C" w:rsidRDefault="00EF39FE">
      <w:pPr>
        <w:pStyle w:val="TOC1"/>
        <w:adjustRightInd w:val="0"/>
        <w:snapToGrid w:val="0"/>
        <w:spacing w:before="0" w:line="440" w:lineRule="exact"/>
        <w:jc w:val="left"/>
        <w:rPr>
          <w:rFonts w:ascii="黑体" w:hAnsi="黑体" w:hint="eastAsia"/>
        </w:rPr>
      </w:pPr>
      <w:r>
        <w:rPr>
          <w:rFonts w:ascii="黑体" w:eastAsia="黑体" w:hAnsi="黑体" w:hint="eastAsia"/>
        </w:rPr>
        <w:t>第三部分 名词解释</w:t>
      </w:r>
      <w:r>
        <w:tab/>
      </w:r>
      <w:r>
        <w:rPr>
          <w:rFonts w:hint="eastAsia"/>
        </w:rPr>
        <w:t>15</w:t>
      </w:r>
    </w:p>
    <w:p w14:paraId="4960700C" w14:textId="77777777" w:rsidR="009C4F3C" w:rsidRDefault="00EF39FE">
      <w:pPr>
        <w:pStyle w:val="TOC1"/>
        <w:adjustRightInd w:val="0"/>
        <w:snapToGrid w:val="0"/>
        <w:spacing w:before="0" w:line="440" w:lineRule="exact"/>
        <w:jc w:val="left"/>
        <w:rPr>
          <w:rFonts w:ascii="黑体" w:hAnsi="黑体" w:hint="eastAsia"/>
        </w:rPr>
      </w:pPr>
      <w:r>
        <w:rPr>
          <w:rFonts w:ascii="黑体" w:eastAsia="黑体" w:hAnsi="黑体" w:hint="eastAsia"/>
        </w:rPr>
        <w:t>第四部分 附件</w:t>
      </w:r>
      <w:r>
        <w:tab/>
      </w:r>
      <w:r>
        <w:rPr>
          <w:rFonts w:hint="eastAsia"/>
        </w:rPr>
        <w:t>16</w:t>
      </w:r>
    </w:p>
    <w:p w14:paraId="13B769FC" w14:textId="77777777" w:rsidR="009C4F3C" w:rsidRDefault="00EF39FE">
      <w:pPr>
        <w:pStyle w:val="TOC1"/>
        <w:adjustRightInd w:val="0"/>
        <w:snapToGrid w:val="0"/>
        <w:spacing w:before="0" w:line="440" w:lineRule="exact"/>
        <w:jc w:val="left"/>
        <w:rPr>
          <w:rFonts w:cstheme="minorBidi" w:hint="eastAsia"/>
          <w:sz w:val="24"/>
          <w:szCs w:val="24"/>
        </w:rPr>
      </w:pPr>
      <w:r>
        <w:rPr>
          <w:rFonts w:ascii="黑体" w:eastAsia="黑体" w:hAnsi="黑体" w:hint="eastAsia"/>
        </w:rPr>
        <w:t>第五部分 附表</w:t>
      </w:r>
      <w:r>
        <w:tab/>
      </w:r>
      <w:r>
        <w:rPr>
          <w:rFonts w:hint="eastAsia"/>
        </w:rPr>
        <w:t>31</w:t>
      </w:r>
    </w:p>
    <w:p w14:paraId="7E69920E"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一、收入支出决算总表</w:t>
      </w:r>
      <w:r>
        <w:tab/>
      </w:r>
      <w:r>
        <w:rPr>
          <w:rFonts w:hint="eastAsia"/>
        </w:rPr>
        <w:t>31</w:t>
      </w:r>
    </w:p>
    <w:p w14:paraId="3315150E"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lastRenderedPageBreak/>
        <w:t>二、收入决算表</w:t>
      </w:r>
      <w:r>
        <w:tab/>
      </w:r>
      <w:r>
        <w:rPr>
          <w:rFonts w:hint="eastAsia"/>
        </w:rPr>
        <w:t>31</w:t>
      </w:r>
    </w:p>
    <w:p w14:paraId="4AD57833"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三、支出决算表</w:t>
      </w:r>
      <w:r>
        <w:tab/>
      </w:r>
      <w:r>
        <w:rPr>
          <w:rFonts w:hint="eastAsia"/>
        </w:rPr>
        <w:t>31</w:t>
      </w:r>
    </w:p>
    <w:p w14:paraId="7A712C9E"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四、财政拨款收入支出决算总表</w:t>
      </w:r>
      <w:r>
        <w:tab/>
      </w:r>
      <w:r>
        <w:rPr>
          <w:rFonts w:hint="eastAsia"/>
        </w:rPr>
        <w:t>31</w:t>
      </w:r>
    </w:p>
    <w:p w14:paraId="62C99F69"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五、财政拨款支出决算明细表</w:t>
      </w:r>
      <w:r>
        <w:tab/>
      </w:r>
      <w:r>
        <w:rPr>
          <w:rFonts w:hint="eastAsia"/>
        </w:rPr>
        <w:t>31</w:t>
      </w:r>
    </w:p>
    <w:p w14:paraId="6BF55C47"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六、一般公共预算财政拨款支出决算表</w:t>
      </w:r>
      <w:r>
        <w:tab/>
      </w:r>
      <w:r>
        <w:rPr>
          <w:rFonts w:hint="eastAsia"/>
        </w:rPr>
        <w:t>31</w:t>
      </w:r>
    </w:p>
    <w:p w14:paraId="3EE20787"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七、一般公共预算财政拨款支出决算明细表</w:t>
      </w:r>
      <w:r>
        <w:tab/>
      </w:r>
      <w:r>
        <w:rPr>
          <w:rFonts w:hint="eastAsia"/>
        </w:rPr>
        <w:t>31</w:t>
      </w:r>
    </w:p>
    <w:p w14:paraId="0047AA14"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八、一般公共预算财政拨款基本支出决算明细表</w:t>
      </w:r>
      <w:r>
        <w:tab/>
      </w:r>
      <w:r>
        <w:rPr>
          <w:rFonts w:hint="eastAsia"/>
        </w:rPr>
        <w:t>31</w:t>
      </w:r>
    </w:p>
    <w:p w14:paraId="5854612F"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九、一般公共预算财政拨款项目支出决算表</w:t>
      </w:r>
      <w:r>
        <w:tab/>
      </w:r>
      <w:r>
        <w:rPr>
          <w:rFonts w:hint="eastAsia"/>
        </w:rPr>
        <w:t>31</w:t>
      </w:r>
    </w:p>
    <w:p w14:paraId="38213074"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十、政府性基金预算财政拨款收入支出决算表</w:t>
      </w:r>
      <w:r>
        <w:tab/>
      </w:r>
      <w:r>
        <w:rPr>
          <w:rFonts w:hint="eastAsia"/>
        </w:rPr>
        <w:t>31</w:t>
      </w:r>
    </w:p>
    <w:p w14:paraId="6C4C94F9"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十一、国有资本经营预算财政拨款收入支出决算表</w:t>
      </w:r>
      <w:r>
        <w:tab/>
      </w:r>
      <w:r>
        <w:rPr>
          <w:rFonts w:hint="eastAsia"/>
        </w:rPr>
        <w:t>31</w:t>
      </w:r>
    </w:p>
    <w:p w14:paraId="50FC158F"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十二、国有资本经营预算财政拨款支出决算表</w:t>
      </w:r>
      <w:r>
        <w:tab/>
      </w:r>
      <w:r>
        <w:rPr>
          <w:rFonts w:hint="eastAsia"/>
        </w:rPr>
        <w:t>31</w:t>
      </w:r>
    </w:p>
    <w:p w14:paraId="71D3E796" w14:textId="77777777" w:rsidR="009C4F3C" w:rsidRDefault="00EF39FE">
      <w:pPr>
        <w:pStyle w:val="TOC2"/>
        <w:tabs>
          <w:tab w:val="clear" w:pos="8296"/>
          <w:tab w:val="right" w:leader="dot" w:pos="8845"/>
        </w:tabs>
        <w:spacing w:line="600" w:lineRule="exact"/>
        <w:rPr>
          <w:rFonts w:ascii="黑体" w:hAnsi="黑体" w:hint="eastAsia"/>
        </w:rPr>
      </w:pPr>
      <w:r>
        <w:rPr>
          <w:rFonts w:ascii="黑体" w:eastAsia="黑体" w:hAnsi="黑体" w:hint="eastAsia"/>
        </w:rPr>
        <w:t>十三、财政拨款“三公”经费支出决算表</w:t>
      </w:r>
      <w:r>
        <w:tab/>
      </w:r>
      <w:r>
        <w:rPr>
          <w:rFonts w:hint="eastAsia"/>
        </w:rPr>
        <w:t>31</w:t>
      </w:r>
    </w:p>
    <w:p w14:paraId="6968611F" w14:textId="77777777" w:rsidR="009C4F3C" w:rsidRDefault="00EF39FE">
      <w:pPr>
        <w:widowControl/>
        <w:spacing w:line="440" w:lineRule="exact"/>
        <w:jc w:val="left"/>
        <w:rPr>
          <w:rFonts w:ascii="仿宋" w:eastAsia="仿宋" w:hAnsi="仿宋" w:hint="eastAsia"/>
          <w:bCs/>
          <w:kern w:val="44"/>
          <w:sz w:val="24"/>
        </w:rPr>
      </w:pPr>
      <w:bookmarkStart w:id="15" w:name="_Toc15396599"/>
      <w:bookmarkStart w:id="16" w:name="_Toc15377196"/>
      <w:r>
        <w:rPr>
          <w:rFonts w:ascii="仿宋" w:eastAsia="仿宋" w:hAnsi="仿宋" w:hint="eastAsia"/>
          <w:sz w:val="24"/>
        </w:rPr>
        <w:t xml:space="preserve"> </w:t>
      </w:r>
      <w:r>
        <w:rPr>
          <w:rFonts w:ascii="仿宋" w:eastAsia="仿宋" w:hAnsi="仿宋"/>
          <w:b/>
          <w:sz w:val="24"/>
        </w:rPr>
        <w:br w:type="page"/>
      </w:r>
    </w:p>
    <w:p w14:paraId="6462D75F" w14:textId="77777777" w:rsidR="009C4F3C" w:rsidRDefault="00EF39FE">
      <w:pPr>
        <w:pStyle w:val="1"/>
        <w:jc w:val="center"/>
        <w:rPr>
          <w:rFonts w:ascii="黑体" w:eastAsia="黑体"/>
          <w:sz w:val="32"/>
          <w:szCs w:val="32"/>
        </w:rPr>
      </w:pPr>
      <w:r>
        <w:rPr>
          <w:rFonts w:ascii="黑体" w:eastAsia="黑体" w:hAnsi="黑体" w:hint="eastAsia"/>
          <w:b w:val="0"/>
        </w:rPr>
        <w:lastRenderedPageBreak/>
        <w:t xml:space="preserve">第一部分 </w:t>
      </w:r>
      <w:r>
        <w:rPr>
          <w:rStyle w:val="1Char"/>
          <w:rFonts w:ascii="黑体" w:eastAsia="黑体" w:hAnsi="黑体" w:hint="eastAsia"/>
        </w:rPr>
        <w:t>部门概况</w:t>
      </w:r>
      <w:bookmarkEnd w:id="15"/>
      <w:bookmarkEnd w:id="16"/>
    </w:p>
    <w:p w14:paraId="3EED540B" w14:textId="77777777" w:rsidR="009C4F3C" w:rsidRDefault="00EF39FE">
      <w:pPr>
        <w:pStyle w:val="2"/>
        <w:numPr>
          <w:ilvl w:val="0"/>
          <w:numId w:val="1"/>
        </w:numPr>
        <w:rPr>
          <w:rFonts w:ascii="黑体" w:eastAsia="黑体" w:hAnsi="黑体" w:hint="eastAsia"/>
          <w:b w:val="0"/>
        </w:rPr>
      </w:pPr>
      <w:r>
        <w:rPr>
          <w:rFonts w:ascii="黑体" w:eastAsia="黑体" w:hAnsi="黑体" w:hint="eastAsia"/>
          <w:b w:val="0"/>
        </w:rPr>
        <w:t>部门职责</w:t>
      </w:r>
    </w:p>
    <w:p w14:paraId="31BDFF7E" w14:textId="77777777" w:rsidR="009C4F3C" w:rsidRDefault="00EF39FE">
      <w:pPr>
        <w:ind w:firstLineChars="200" w:firstLine="640"/>
        <w:rPr>
          <w:rFonts w:ascii="仿宋" w:eastAsia="仿宋" w:hAnsi="仿宋" w:hint="eastAsia"/>
          <w:sz w:val="32"/>
          <w:szCs w:val="32"/>
        </w:rPr>
      </w:pPr>
      <w:r>
        <w:rPr>
          <w:rFonts w:ascii="仿宋_GB2312" w:eastAsia="仿宋_GB2312" w:hAnsi="仿宋" w:hint="eastAsia"/>
          <w:sz w:val="32"/>
          <w:szCs w:val="32"/>
        </w:rPr>
        <w:t>四川省人民政府科学城办事处（以下简称川府科办）为省政府派出机构，与中国工程物理研究院公共事务管理部一个机构两块牌子。负责中国工程物理研究院在川征地范围内的行</w:t>
      </w:r>
      <w:r>
        <w:rPr>
          <w:rFonts w:ascii="仿宋_GB2312" w:eastAsia="仿宋_GB2312" w:hAnsi="仿宋" w:hint="eastAsia"/>
          <w:spacing w:val="-10"/>
          <w:sz w:val="32"/>
          <w:szCs w:val="32"/>
        </w:rPr>
        <w:t>政管理和行政执法工作，承办省政府交办的其他事项</w:t>
      </w:r>
      <w:r>
        <w:rPr>
          <w:rFonts w:ascii="仿宋_GB2312" w:eastAsia="仿宋_GB2312" w:hAnsi="仿宋" w:hint="eastAsia"/>
          <w:sz w:val="32"/>
          <w:szCs w:val="32"/>
        </w:rPr>
        <w:t>。</w:t>
      </w:r>
    </w:p>
    <w:p w14:paraId="60FF41EA" w14:textId="77777777" w:rsidR="009C4F3C" w:rsidRDefault="00EF39FE">
      <w:pPr>
        <w:pStyle w:val="2"/>
        <w:rPr>
          <w:rStyle w:val="20"/>
        </w:rPr>
      </w:pPr>
      <w:bookmarkStart w:id="17" w:name="_Toc15377200"/>
      <w:bookmarkStart w:id="18" w:name="_Toc15396601"/>
      <w:r>
        <w:rPr>
          <w:rFonts w:ascii="黑体" w:eastAsia="黑体" w:hint="eastAsia"/>
          <w:b w:val="0"/>
        </w:rPr>
        <w:t>二、</w:t>
      </w:r>
      <w:r>
        <w:rPr>
          <w:rFonts w:ascii="黑体" w:eastAsia="黑体" w:hAnsi="黑体" w:hint="eastAsia"/>
          <w:b w:val="0"/>
        </w:rPr>
        <w:t>机</w:t>
      </w:r>
      <w:r>
        <w:rPr>
          <w:rStyle w:val="20"/>
          <w:rFonts w:ascii="黑体" w:eastAsia="黑体" w:hAnsi="黑体" w:hint="eastAsia"/>
        </w:rPr>
        <w:t>构设置</w:t>
      </w:r>
      <w:bookmarkEnd w:id="17"/>
      <w:bookmarkEnd w:id="18"/>
    </w:p>
    <w:p w14:paraId="3B90903D" w14:textId="77777777" w:rsidR="009C4F3C" w:rsidRDefault="00EF39FE">
      <w:pPr>
        <w:ind w:firstLineChars="200" w:firstLine="600"/>
        <w:rPr>
          <w:rFonts w:ascii="仿宋_GB2312" w:eastAsia="仿宋_GB2312" w:hAnsi="仿宋" w:hint="eastAsia"/>
          <w:spacing w:val="-10"/>
          <w:sz w:val="32"/>
          <w:szCs w:val="32"/>
        </w:rPr>
      </w:pPr>
      <w:r>
        <w:rPr>
          <w:rFonts w:ascii="仿宋_GB2312" w:eastAsia="仿宋_GB2312" w:hAnsi="仿宋" w:hint="eastAsia"/>
          <w:spacing w:val="-10"/>
          <w:sz w:val="32"/>
          <w:szCs w:val="32"/>
        </w:rPr>
        <w:t>川府科办下属二级单位1个，其中行政单位0个，参照公务员法管理的事业单位0个，其他事业单位1个。</w:t>
      </w:r>
    </w:p>
    <w:p w14:paraId="33FA5305" w14:textId="2D7B96AA" w:rsidR="009C4F3C" w:rsidRDefault="00EF39FE">
      <w:pPr>
        <w:ind w:firstLineChars="200" w:firstLine="600"/>
        <w:rPr>
          <w:rFonts w:ascii="仿宋_GB2312" w:eastAsia="仿宋_GB2312" w:hAnsi="仿宋" w:hint="eastAsia"/>
          <w:spacing w:val="-10"/>
          <w:sz w:val="32"/>
          <w:szCs w:val="32"/>
        </w:rPr>
      </w:pPr>
      <w:r>
        <w:rPr>
          <w:rFonts w:ascii="仿宋_GB2312" w:eastAsia="仿宋_GB2312" w:hAnsi="仿宋" w:hint="eastAsia"/>
          <w:spacing w:val="-10"/>
          <w:sz w:val="32"/>
          <w:szCs w:val="32"/>
        </w:rPr>
        <w:t>纳入川府科办202</w:t>
      </w:r>
      <w:r w:rsidR="0046508B">
        <w:rPr>
          <w:rFonts w:ascii="仿宋_GB2312" w:eastAsia="仿宋_GB2312" w:hAnsi="仿宋" w:hint="eastAsia"/>
          <w:spacing w:val="-10"/>
          <w:sz w:val="32"/>
          <w:szCs w:val="32"/>
        </w:rPr>
        <w:t>3</w:t>
      </w:r>
      <w:r>
        <w:rPr>
          <w:rFonts w:ascii="仿宋_GB2312" w:eastAsia="仿宋_GB2312" w:hAnsi="仿宋" w:hint="eastAsia"/>
          <w:spacing w:val="-10"/>
          <w:sz w:val="32"/>
          <w:szCs w:val="32"/>
        </w:rPr>
        <w:t>年度部门决算编制范围的二级预算单位包括：</w:t>
      </w:r>
    </w:p>
    <w:p w14:paraId="254FBF02" w14:textId="77777777" w:rsidR="009C4F3C" w:rsidRDefault="00EF39FE">
      <w:pPr>
        <w:pStyle w:val="Default"/>
        <w:ind w:firstLineChars="200" w:firstLine="600"/>
      </w:pPr>
      <w:r>
        <w:rPr>
          <w:rFonts w:ascii="仿宋_GB2312" w:eastAsia="仿宋_GB2312" w:hAnsi="仿宋" w:hint="eastAsia"/>
          <w:spacing w:val="-10"/>
          <w:sz w:val="32"/>
          <w:szCs w:val="32"/>
        </w:rPr>
        <w:t>1.</w:t>
      </w:r>
      <w:r>
        <w:rPr>
          <w:rFonts w:ascii="仿宋_GB2312" w:eastAsia="仿宋_GB2312" w:hAnsi="仿宋"/>
          <w:spacing w:val="-10"/>
          <w:sz w:val="32"/>
          <w:szCs w:val="32"/>
        </w:rPr>
        <w:t>四川省人民政府科学城办事处</w:t>
      </w:r>
    </w:p>
    <w:p w14:paraId="7F5F818B" w14:textId="77777777" w:rsidR="009C4F3C" w:rsidRDefault="00EF39FE">
      <w:pPr>
        <w:widowControl/>
        <w:jc w:val="left"/>
        <w:rPr>
          <w:rFonts w:ascii="仿宋" w:eastAsia="仿宋" w:hAnsi="仿宋" w:hint="eastAsia"/>
          <w:kern w:val="0"/>
          <w:sz w:val="32"/>
          <w:szCs w:val="32"/>
        </w:rPr>
      </w:pPr>
      <w:r>
        <w:rPr>
          <w:rFonts w:ascii="仿宋" w:eastAsia="仿宋" w:hAnsi="仿宋"/>
          <w:sz w:val="32"/>
          <w:szCs w:val="32"/>
        </w:rPr>
        <w:br w:type="page"/>
      </w:r>
    </w:p>
    <w:p w14:paraId="0DF9BF30" w14:textId="77777777" w:rsidR="009C4F3C" w:rsidRDefault="00EF39FE">
      <w:pPr>
        <w:pStyle w:val="1"/>
        <w:ind w:right="440"/>
        <w:jc w:val="center"/>
        <w:rPr>
          <w:rStyle w:val="1Char"/>
          <w:rFonts w:ascii="黑体" w:eastAsia="黑体" w:hAnsi="黑体" w:hint="eastAsia"/>
          <w:bCs/>
        </w:rPr>
      </w:pPr>
      <w:bookmarkStart w:id="19" w:name="_Toc15396602"/>
      <w:bookmarkStart w:id="20" w:name="_Toc15377204"/>
      <w:r>
        <w:rPr>
          <w:rFonts w:ascii="黑体" w:eastAsia="黑体" w:hAnsi="黑体" w:hint="eastAsia"/>
          <w:b w:val="0"/>
        </w:rPr>
        <w:lastRenderedPageBreak/>
        <w:t>第二部分 2023年度</w:t>
      </w:r>
      <w:r>
        <w:rPr>
          <w:rStyle w:val="1Char"/>
          <w:rFonts w:ascii="黑体" w:eastAsia="黑体" w:hAnsi="黑体" w:hint="eastAsia"/>
          <w:bCs/>
        </w:rPr>
        <w:t>部门决算情况说明</w:t>
      </w:r>
      <w:bookmarkEnd w:id="19"/>
      <w:bookmarkEnd w:id="20"/>
    </w:p>
    <w:p w14:paraId="41285A7F" w14:textId="77777777" w:rsidR="009C4F3C" w:rsidRDefault="009C4F3C"/>
    <w:p w14:paraId="44248D9B" w14:textId="77777777" w:rsidR="009C4F3C" w:rsidRDefault="00EF39FE">
      <w:pPr>
        <w:pStyle w:val="af0"/>
        <w:numPr>
          <w:ilvl w:val="0"/>
          <w:numId w:val="2"/>
        </w:numPr>
        <w:spacing w:line="600" w:lineRule="exact"/>
        <w:ind w:firstLineChars="0"/>
        <w:outlineLvl w:val="1"/>
        <w:rPr>
          <w:rStyle w:val="20"/>
          <w:rFonts w:ascii="黑体" w:eastAsia="黑体" w:hAnsi="黑体" w:hint="eastAsia"/>
          <w:b w:val="0"/>
        </w:rPr>
      </w:pPr>
      <w:bookmarkStart w:id="21" w:name="_Toc15396603"/>
      <w:bookmarkStart w:id="22" w:name="_Toc15377205"/>
      <w:r>
        <w:rPr>
          <w:rFonts w:ascii="黑体" w:eastAsia="黑体" w:hAnsi="黑体" w:hint="eastAsia"/>
          <w:sz w:val="32"/>
          <w:szCs w:val="32"/>
        </w:rPr>
        <w:t>收</w:t>
      </w:r>
      <w:r>
        <w:rPr>
          <w:rStyle w:val="20"/>
          <w:rFonts w:ascii="黑体" w:eastAsia="黑体" w:hAnsi="黑体" w:hint="eastAsia"/>
          <w:b w:val="0"/>
        </w:rPr>
        <w:t>入支出决算总体情况说明</w:t>
      </w:r>
      <w:bookmarkEnd w:id="21"/>
      <w:bookmarkEnd w:id="22"/>
    </w:p>
    <w:p w14:paraId="49595A7C" w14:textId="77777777" w:rsidR="009C4F3C" w:rsidRDefault="00EF39FE">
      <w:pPr>
        <w:spacing w:line="600" w:lineRule="exact"/>
        <w:ind w:firstLineChars="200" w:firstLine="640"/>
        <w:rPr>
          <w:rFonts w:ascii="仿宋" w:eastAsia="仿宋" w:hAnsi="仿宋" w:hint="eastAsia"/>
          <w:sz w:val="32"/>
          <w:szCs w:val="32"/>
        </w:rPr>
      </w:pPr>
      <w:r>
        <w:rPr>
          <w:rFonts w:ascii="仿宋" w:eastAsia="仿宋" w:hAnsi="仿宋" w:hint="eastAsia"/>
          <w:sz w:val="32"/>
          <w:szCs w:val="32"/>
        </w:rPr>
        <w:t>2023年初收入、支出总计均为1430.22万元。与2022年度相比，收、支总计各减少6.04万元，下降0.4</w:t>
      </w:r>
      <w:r>
        <w:rPr>
          <w:rFonts w:ascii="仿宋" w:eastAsia="仿宋" w:hAnsi="仿宋"/>
          <w:sz w:val="32"/>
          <w:szCs w:val="32"/>
        </w:rPr>
        <w:t>%</w:t>
      </w:r>
      <w:r>
        <w:rPr>
          <w:rFonts w:ascii="仿宋" w:eastAsia="仿宋" w:hAnsi="仿宋" w:hint="eastAsia"/>
          <w:sz w:val="32"/>
          <w:szCs w:val="32"/>
        </w:rPr>
        <w:t>。主要变动原因是预算安排减少。</w:t>
      </w:r>
    </w:p>
    <w:p w14:paraId="03F12576" w14:textId="77777777" w:rsidR="009C4F3C" w:rsidRDefault="00EF39FE">
      <w:pPr>
        <w:pStyle w:val="Default"/>
      </w:pPr>
      <w:r>
        <w:rPr>
          <w:rFonts w:hint="eastAsia"/>
        </w:rPr>
        <w:t xml:space="preserve">    </w:t>
      </w:r>
    </w:p>
    <w:p w14:paraId="5536CE3F" w14:textId="77777777" w:rsidR="009C4F3C" w:rsidRDefault="00EF39FE">
      <w:pPr>
        <w:pStyle w:val="Default"/>
      </w:pPr>
      <w:r>
        <w:rPr>
          <w:noProof/>
        </w:rPr>
        <w:drawing>
          <wp:anchor distT="0" distB="0" distL="114300" distR="114300" simplePos="0" relativeHeight="251661312" behindDoc="0" locked="0" layoutInCell="1" allowOverlap="1" wp14:anchorId="04F06831" wp14:editId="15D9D873">
            <wp:simplePos x="0" y="0"/>
            <wp:positionH relativeFrom="column">
              <wp:posOffset>731520</wp:posOffset>
            </wp:positionH>
            <wp:positionV relativeFrom="paragraph">
              <wp:posOffset>46355</wp:posOffset>
            </wp:positionV>
            <wp:extent cx="3526790" cy="1755140"/>
            <wp:effectExtent l="4445" t="4445" r="12065" b="12065"/>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rPr>
        <w:t xml:space="preserve">    </w:t>
      </w:r>
    </w:p>
    <w:p w14:paraId="32933170" w14:textId="77777777" w:rsidR="009C4F3C" w:rsidRDefault="009C4F3C">
      <w:pPr>
        <w:pStyle w:val="Default"/>
      </w:pPr>
    </w:p>
    <w:p w14:paraId="53DC5467" w14:textId="77777777" w:rsidR="009C4F3C" w:rsidRDefault="009C4F3C">
      <w:pPr>
        <w:pStyle w:val="Default"/>
      </w:pPr>
    </w:p>
    <w:p w14:paraId="469ECE88" w14:textId="77777777" w:rsidR="009C4F3C" w:rsidRDefault="009C4F3C">
      <w:pPr>
        <w:pStyle w:val="Default"/>
      </w:pPr>
    </w:p>
    <w:p w14:paraId="55660C73" w14:textId="77777777" w:rsidR="009C4F3C" w:rsidRDefault="009C4F3C">
      <w:pPr>
        <w:pStyle w:val="Default"/>
      </w:pPr>
    </w:p>
    <w:p w14:paraId="46F877D6" w14:textId="77777777" w:rsidR="009C4F3C" w:rsidRDefault="009C4F3C">
      <w:pPr>
        <w:pStyle w:val="Default"/>
      </w:pPr>
    </w:p>
    <w:p w14:paraId="451A2156" w14:textId="77777777" w:rsidR="009C4F3C" w:rsidRDefault="009C4F3C">
      <w:pPr>
        <w:pStyle w:val="Default"/>
      </w:pPr>
    </w:p>
    <w:p w14:paraId="167DBCDB" w14:textId="77777777" w:rsidR="009C4F3C" w:rsidRDefault="009C4F3C">
      <w:pPr>
        <w:pStyle w:val="Default"/>
      </w:pPr>
    </w:p>
    <w:p w14:paraId="70C2E483" w14:textId="77777777" w:rsidR="009C4F3C" w:rsidRDefault="009C4F3C">
      <w:pPr>
        <w:pStyle w:val="Default"/>
      </w:pPr>
    </w:p>
    <w:p w14:paraId="7FC57650" w14:textId="77777777" w:rsidR="009C4F3C" w:rsidRDefault="009C4F3C">
      <w:pPr>
        <w:pStyle w:val="Default"/>
      </w:pPr>
    </w:p>
    <w:p w14:paraId="5558DDA9" w14:textId="77777777" w:rsidR="009C4F3C" w:rsidRDefault="00EF39FE">
      <w:pPr>
        <w:spacing w:line="600" w:lineRule="exact"/>
        <w:ind w:firstLineChars="300" w:firstLine="960"/>
        <w:rPr>
          <w:rFonts w:ascii="仿宋" w:eastAsia="仿宋" w:hAnsi="仿宋" w:hint="eastAsia"/>
          <w:sz w:val="32"/>
          <w:szCs w:val="32"/>
        </w:rPr>
      </w:pPr>
      <w:r>
        <w:rPr>
          <w:rFonts w:ascii="仿宋" w:eastAsia="仿宋" w:hAnsi="仿宋" w:hint="eastAsia"/>
          <w:sz w:val="32"/>
          <w:szCs w:val="32"/>
        </w:rPr>
        <w:t>（图</w:t>
      </w:r>
      <w:r>
        <w:rPr>
          <w:rFonts w:ascii="仿宋" w:eastAsia="仿宋" w:hAnsi="仿宋"/>
          <w:sz w:val="32"/>
          <w:szCs w:val="32"/>
        </w:rPr>
        <w:t>1</w:t>
      </w:r>
      <w:r>
        <w:rPr>
          <w:rFonts w:ascii="仿宋" w:eastAsia="仿宋" w:hAnsi="仿宋" w:hint="eastAsia"/>
          <w:sz w:val="32"/>
          <w:szCs w:val="32"/>
        </w:rPr>
        <w:t>：年初收、支总计变动情况图）（柱状图）</w:t>
      </w:r>
    </w:p>
    <w:p w14:paraId="4D3C8D50" w14:textId="77777777" w:rsidR="009C4F3C" w:rsidRDefault="00EF39FE">
      <w:pPr>
        <w:snapToGrid w:val="0"/>
        <w:spacing w:line="60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2023年末收入、支出调整预算数和年终执行数均为1532.32万元，较上年的1437.32万元增加了95.00万元，增加6%，当年预算收入、支出完成率100%。</w:t>
      </w:r>
    </w:p>
    <w:p w14:paraId="270605A3" w14:textId="77777777" w:rsidR="009C4F3C" w:rsidRDefault="00EF39FE">
      <w:pPr>
        <w:pStyle w:val="Default"/>
        <w:ind w:firstLine="640"/>
        <w:rPr>
          <w:rFonts w:hAnsi="仿宋" w:hint="eastAsia"/>
          <w:sz w:val="32"/>
          <w:szCs w:val="32"/>
        </w:rPr>
      </w:pPr>
      <w:r>
        <w:rPr>
          <w:rFonts w:hAnsi="仿宋" w:hint="eastAsia"/>
          <w:sz w:val="32"/>
          <w:szCs w:val="32"/>
        </w:rPr>
        <w:t xml:space="preserve">增加主要原因2023年是较上年新增省级补助卫生健康支出。  </w:t>
      </w:r>
    </w:p>
    <w:p w14:paraId="2D13144F" w14:textId="77777777" w:rsidR="009C4F3C" w:rsidRDefault="009C4F3C">
      <w:pPr>
        <w:pStyle w:val="Default"/>
        <w:ind w:firstLine="640"/>
        <w:rPr>
          <w:rFonts w:hAnsi="仿宋" w:hint="eastAsia"/>
          <w:sz w:val="32"/>
          <w:szCs w:val="32"/>
        </w:rPr>
      </w:pPr>
    </w:p>
    <w:p w14:paraId="4FFEE939" w14:textId="77777777" w:rsidR="009C4F3C" w:rsidRDefault="009C4F3C">
      <w:pPr>
        <w:pStyle w:val="Default"/>
        <w:ind w:firstLine="640"/>
        <w:rPr>
          <w:rFonts w:hAnsi="仿宋" w:hint="eastAsia"/>
          <w:sz w:val="32"/>
          <w:szCs w:val="32"/>
        </w:rPr>
      </w:pPr>
    </w:p>
    <w:p w14:paraId="01461756" w14:textId="77777777" w:rsidR="009C4F3C" w:rsidRDefault="00EF39FE">
      <w:pPr>
        <w:pStyle w:val="Default"/>
        <w:ind w:firstLine="640"/>
        <w:rPr>
          <w:rFonts w:hAnsi="仿宋" w:hint="eastAsia"/>
          <w:sz w:val="32"/>
          <w:szCs w:val="32"/>
        </w:rPr>
      </w:pPr>
      <w:r>
        <w:rPr>
          <w:rFonts w:hAnsi="仿宋" w:hint="eastAsia"/>
          <w:sz w:val="32"/>
          <w:szCs w:val="32"/>
        </w:rPr>
        <w:t xml:space="preserve"> </w:t>
      </w:r>
    </w:p>
    <w:p w14:paraId="78F9F9BB" w14:textId="77777777" w:rsidR="009C4F3C" w:rsidRDefault="00EF39FE">
      <w:pPr>
        <w:spacing w:line="600" w:lineRule="exact"/>
        <w:jc w:val="left"/>
        <w:rPr>
          <w:rFonts w:ascii="仿宋_GB2312" w:eastAsia="仿宋_GB2312"/>
          <w:sz w:val="32"/>
          <w:szCs w:val="32"/>
        </w:rPr>
      </w:pPr>
      <w:r>
        <w:rPr>
          <w:rFonts w:ascii="仿宋_GB2312" w:eastAsia="仿宋_GB2312" w:hint="eastAsia"/>
          <w:sz w:val="32"/>
          <w:szCs w:val="32"/>
        </w:rPr>
        <w:t xml:space="preserve"> </w:t>
      </w:r>
    </w:p>
    <w:p w14:paraId="28EE83AE" w14:textId="77777777" w:rsidR="009C4F3C" w:rsidRDefault="009C4F3C">
      <w:pPr>
        <w:pStyle w:val="Default"/>
        <w:rPr>
          <w:rFonts w:ascii="仿宋_GB2312" w:eastAsia="仿宋_GB2312"/>
          <w:color w:val="auto"/>
          <w:sz w:val="32"/>
          <w:szCs w:val="32"/>
        </w:rPr>
      </w:pPr>
    </w:p>
    <w:p w14:paraId="613E7C41" w14:textId="77777777" w:rsidR="009C4F3C" w:rsidRDefault="00EF39FE">
      <w:pPr>
        <w:pStyle w:val="Default"/>
        <w:rPr>
          <w:rFonts w:ascii="仿宋_GB2312" w:eastAsia="仿宋_GB2312"/>
          <w:color w:val="auto"/>
          <w:sz w:val="32"/>
          <w:szCs w:val="32"/>
        </w:rPr>
      </w:pPr>
      <w:r>
        <w:rPr>
          <w:noProof/>
        </w:rPr>
        <w:drawing>
          <wp:anchor distT="0" distB="0" distL="114300" distR="114300" simplePos="0" relativeHeight="251662336" behindDoc="0" locked="0" layoutInCell="1" allowOverlap="1" wp14:anchorId="6151738A" wp14:editId="0CCA6514">
            <wp:simplePos x="0" y="0"/>
            <wp:positionH relativeFrom="column">
              <wp:posOffset>380365</wp:posOffset>
            </wp:positionH>
            <wp:positionV relativeFrom="paragraph">
              <wp:posOffset>129540</wp:posOffset>
            </wp:positionV>
            <wp:extent cx="4566920" cy="2736215"/>
            <wp:effectExtent l="5080" t="4445" r="14605" b="15240"/>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531C5D8" w14:textId="77777777" w:rsidR="009C4F3C" w:rsidRDefault="009C4F3C">
      <w:pPr>
        <w:pStyle w:val="Default"/>
        <w:rPr>
          <w:rFonts w:ascii="仿宋_GB2312" w:eastAsia="仿宋_GB2312"/>
          <w:color w:val="auto"/>
          <w:sz w:val="32"/>
          <w:szCs w:val="32"/>
        </w:rPr>
      </w:pPr>
    </w:p>
    <w:p w14:paraId="517FCF73" w14:textId="77777777" w:rsidR="009C4F3C" w:rsidRDefault="009C4F3C">
      <w:pPr>
        <w:pStyle w:val="Default"/>
        <w:rPr>
          <w:rFonts w:ascii="仿宋_GB2312" w:eastAsia="仿宋_GB2312"/>
          <w:color w:val="auto"/>
          <w:sz w:val="32"/>
          <w:szCs w:val="32"/>
        </w:rPr>
      </w:pPr>
    </w:p>
    <w:p w14:paraId="2F4662C5" w14:textId="77777777" w:rsidR="009C4F3C" w:rsidRDefault="009C4F3C">
      <w:pPr>
        <w:pStyle w:val="Default"/>
        <w:rPr>
          <w:rFonts w:ascii="仿宋_GB2312" w:eastAsia="仿宋_GB2312"/>
          <w:color w:val="auto"/>
          <w:sz w:val="32"/>
          <w:szCs w:val="32"/>
        </w:rPr>
      </w:pPr>
    </w:p>
    <w:p w14:paraId="3A47D9F0" w14:textId="77777777" w:rsidR="009C4F3C" w:rsidRDefault="009C4F3C">
      <w:pPr>
        <w:pStyle w:val="Default"/>
        <w:rPr>
          <w:rFonts w:ascii="仿宋_GB2312" w:eastAsia="仿宋_GB2312"/>
          <w:color w:val="auto"/>
          <w:sz w:val="32"/>
          <w:szCs w:val="32"/>
        </w:rPr>
      </w:pPr>
    </w:p>
    <w:p w14:paraId="718092C4" w14:textId="77777777" w:rsidR="009C4F3C" w:rsidRDefault="009C4F3C">
      <w:pPr>
        <w:pStyle w:val="Default"/>
        <w:rPr>
          <w:rFonts w:ascii="仿宋_GB2312" w:eastAsia="仿宋_GB2312"/>
          <w:color w:val="auto"/>
          <w:sz w:val="32"/>
          <w:szCs w:val="32"/>
        </w:rPr>
      </w:pPr>
    </w:p>
    <w:p w14:paraId="6C8B6D73" w14:textId="77777777" w:rsidR="009C4F3C" w:rsidRDefault="009C4F3C">
      <w:pPr>
        <w:pStyle w:val="Default"/>
        <w:rPr>
          <w:rFonts w:ascii="仿宋_GB2312" w:eastAsia="仿宋_GB2312"/>
          <w:color w:val="auto"/>
          <w:sz w:val="32"/>
          <w:szCs w:val="32"/>
        </w:rPr>
      </w:pPr>
    </w:p>
    <w:p w14:paraId="3BF2C58C" w14:textId="77777777" w:rsidR="009C4F3C" w:rsidRDefault="009C4F3C">
      <w:pPr>
        <w:pStyle w:val="Default"/>
        <w:rPr>
          <w:rFonts w:ascii="仿宋_GB2312" w:eastAsia="仿宋_GB2312"/>
          <w:color w:val="auto"/>
          <w:sz w:val="32"/>
          <w:szCs w:val="32"/>
        </w:rPr>
      </w:pPr>
    </w:p>
    <w:p w14:paraId="6B914D92" w14:textId="77777777" w:rsidR="009C4F3C" w:rsidRDefault="00EF39FE">
      <w:pPr>
        <w:spacing w:line="600" w:lineRule="exact"/>
        <w:ind w:firstLineChars="300" w:firstLine="960"/>
        <w:rPr>
          <w:rFonts w:ascii="仿宋_GB2312" w:eastAsia="仿宋_GB2312"/>
          <w:sz w:val="32"/>
          <w:szCs w:val="32"/>
        </w:rPr>
      </w:pPr>
      <w:r>
        <w:rPr>
          <w:rFonts w:ascii="仿宋" w:eastAsia="仿宋" w:hAnsi="仿宋" w:hint="eastAsia"/>
          <w:sz w:val="32"/>
          <w:szCs w:val="32"/>
        </w:rPr>
        <w:t>（图2：年末收、支总计变动情况图）（柱状图）</w:t>
      </w:r>
    </w:p>
    <w:p w14:paraId="4059BF58" w14:textId="77777777" w:rsidR="009C4F3C" w:rsidRDefault="00EF39FE">
      <w:pPr>
        <w:pStyle w:val="af0"/>
        <w:numPr>
          <w:ilvl w:val="0"/>
          <w:numId w:val="2"/>
        </w:numPr>
        <w:spacing w:line="600" w:lineRule="exact"/>
        <w:ind w:firstLineChars="0"/>
        <w:outlineLvl w:val="1"/>
        <w:rPr>
          <w:rStyle w:val="20"/>
          <w:rFonts w:ascii="黑体" w:eastAsia="黑体" w:hAnsi="黑体" w:hint="eastAsia"/>
          <w:b w:val="0"/>
        </w:rPr>
      </w:pPr>
      <w:bookmarkStart w:id="23" w:name="_Toc15396604"/>
      <w:bookmarkStart w:id="24" w:name="_Toc15377206"/>
      <w:r>
        <w:rPr>
          <w:rFonts w:ascii="黑体" w:eastAsia="黑体" w:hAnsi="黑体" w:hint="eastAsia"/>
          <w:sz w:val="32"/>
          <w:szCs w:val="32"/>
        </w:rPr>
        <w:t>收</w:t>
      </w:r>
      <w:r>
        <w:rPr>
          <w:rStyle w:val="20"/>
          <w:rFonts w:ascii="黑体" w:eastAsia="黑体" w:hAnsi="黑体" w:hint="eastAsia"/>
          <w:b w:val="0"/>
        </w:rPr>
        <w:t>入决算情况说明</w:t>
      </w:r>
      <w:bookmarkEnd w:id="23"/>
      <w:bookmarkEnd w:id="24"/>
    </w:p>
    <w:p w14:paraId="4E0E5C9F" w14:textId="77777777" w:rsidR="009C4F3C" w:rsidRDefault="00EF39FE">
      <w:pPr>
        <w:ind w:firstLineChars="200" w:firstLine="600"/>
        <w:rPr>
          <w:rFonts w:ascii="仿宋_GB2312" w:eastAsia="仿宋_GB2312" w:hAnsi="仿宋" w:hint="eastAsia"/>
          <w:spacing w:val="-10"/>
          <w:sz w:val="32"/>
          <w:szCs w:val="32"/>
        </w:rPr>
      </w:pPr>
      <w:bookmarkStart w:id="25" w:name="_Toc15693"/>
      <w:r>
        <w:rPr>
          <w:rFonts w:ascii="仿宋_GB2312" w:eastAsia="仿宋_GB2312" w:hAnsi="仿宋"/>
          <w:spacing w:val="-10"/>
          <w:sz w:val="32"/>
          <w:szCs w:val="32"/>
        </w:rPr>
        <w:t>20</w:t>
      </w:r>
      <w:r>
        <w:rPr>
          <w:rFonts w:ascii="仿宋_GB2312" w:eastAsia="仿宋_GB2312" w:hAnsi="仿宋" w:hint="eastAsia"/>
          <w:spacing w:val="-10"/>
          <w:sz w:val="32"/>
          <w:szCs w:val="32"/>
        </w:rPr>
        <w:t>23年本年收入合计1532.32万元，其中：一般公共预算财政拨款收入1532.32万元，占100</w:t>
      </w:r>
      <w:r>
        <w:rPr>
          <w:rFonts w:ascii="仿宋_GB2312" w:eastAsia="仿宋_GB2312" w:hAnsi="仿宋"/>
          <w:spacing w:val="-10"/>
          <w:sz w:val="32"/>
          <w:szCs w:val="32"/>
        </w:rPr>
        <w:t>%</w:t>
      </w:r>
      <w:r>
        <w:rPr>
          <w:rFonts w:ascii="仿宋_GB2312" w:eastAsia="仿宋_GB2312" w:hAnsi="仿宋" w:hint="eastAsia"/>
          <w:spacing w:val="-10"/>
          <w:sz w:val="32"/>
          <w:szCs w:val="32"/>
        </w:rPr>
        <w:t>。</w:t>
      </w:r>
      <w:bookmarkEnd w:id="25"/>
    </w:p>
    <w:p w14:paraId="18042ECF" w14:textId="77777777" w:rsidR="009C4F3C" w:rsidRDefault="00EF39FE">
      <w:pPr>
        <w:spacing w:line="600" w:lineRule="exact"/>
        <w:outlineLvl w:val="1"/>
        <w:rPr>
          <w:rFonts w:ascii="仿宋" w:eastAsia="仿宋" w:hAnsi="仿宋" w:hint="eastAsia"/>
          <w:b/>
          <w:sz w:val="32"/>
          <w:szCs w:val="32"/>
        </w:rPr>
      </w:pPr>
      <w:bookmarkStart w:id="26" w:name="_Toc30757"/>
      <w:r>
        <w:rPr>
          <w:rFonts w:ascii="仿宋" w:eastAsia="仿宋" w:hAnsi="仿宋" w:hint="eastAsia"/>
          <w:b/>
          <w:sz w:val="32"/>
          <w:szCs w:val="32"/>
        </w:rPr>
        <w:t>（注：数据来源于财决</w:t>
      </w:r>
      <w:r>
        <w:rPr>
          <w:rFonts w:ascii="仿宋" w:eastAsia="仿宋" w:hAnsi="仿宋"/>
          <w:b/>
          <w:sz w:val="32"/>
          <w:szCs w:val="32"/>
        </w:rPr>
        <w:t>01表</w:t>
      </w:r>
      <w:r>
        <w:rPr>
          <w:rFonts w:ascii="仿宋" w:eastAsia="仿宋" w:hAnsi="仿宋" w:hint="eastAsia"/>
          <w:b/>
          <w:sz w:val="32"/>
          <w:szCs w:val="32"/>
        </w:rPr>
        <w:t>，仅罗列本部门涉及的收入。</w:t>
      </w:r>
      <w:r>
        <w:rPr>
          <w:rFonts w:ascii="仿宋" w:eastAsia="仿宋" w:hAnsi="仿宋"/>
          <w:b/>
          <w:sz w:val="32"/>
          <w:szCs w:val="32"/>
        </w:rPr>
        <w:t>）</w:t>
      </w:r>
      <w:bookmarkEnd w:id="26"/>
    </w:p>
    <w:p w14:paraId="73847604" w14:textId="77777777" w:rsidR="009C4F3C" w:rsidRDefault="00EF39FE">
      <w:pPr>
        <w:spacing w:line="600" w:lineRule="exact"/>
        <w:ind w:firstLineChars="200" w:firstLine="640"/>
        <w:outlineLvl w:val="1"/>
        <w:rPr>
          <w:rFonts w:ascii="仿宋" w:eastAsia="仿宋" w:hAnsi="仿宋" w:hint="eastAsia"/>
          <w:sz w:val="32"/>
          <w:szCs w:val="32"/>
        </w:rPr>
      </w:pPr>
      <w:r>
        <w:rPr>
          <w:rFonts w:ascii="仿宋" w:eastAsia="仿宋" w:hAnsi="仿宋" w:hint="eastAsia"/>
          <w:noProof/>
          <w:sz w:val="32"/>
          <w:szCs w:val="32"/>
        </w:rPr>
        <w:drawing>
          <wp:anchor distT="0" distB="0" distL="114300" distR="114300" simplePos="0" relativeHeight="251663360" behindDoc="0" locked="0" layoutInCell="1" allowOverlap="1" wp14:anchorId="4B9471FA" wp14:editId="18E56920">
            <wp:simplePos x="0" y="0"/>
            <wp:positionH relativeFrom="column">
              <wp:posOffset>1086485</wp:posOffset>
            </wp:positionH>
            <wp:positionV relativeFrom="paragraph">
              <wp:posOffset>307975</wp:posOffset>
            </wp:positionV>
            <wp:extent cx="2555240" cy="2623185"/>
            <wp:effectExtent l="4445" t="4445" r="19050" b="10160"/>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BB067D9" w14:textId="77777777" w:rsidR="009C4F3C" w:rsidRDefault="009C4F3C">
      <w:pPr>
        <w:spacing w:line="600" w:lineRule="exact"/>
        <w:ind w:firstLineChars="200" w:firstLine="640"/>
        <w:outlineLvl w:val="1"/>
        <w:rPr>
          <w:rFonts w:ascii="仿宋" w:eastAsia="仿宋" w:hAnsi="仿宋" w:hint="eastAsia"/>
          <w:sz w:val="32"/>
          <w:szCs w:val="32"/>
        </w:rPr>
      </w:pPr>
    </w:p>
    <w:p w14:paraId="798CB4FD" w14:textId="77777777" w:rsidR="009C4F3C" w:rsidRDefault="009C4F3C">
      <w:pPr>
        <w:spacing w:line="600" w:lineRule="exact"/>
        <w:ind w:firstLineChars="200" w:firstLine="640"/>
        <w:outlineLvl w:val="1"/>
        <w:rPr>
          <w:rFonts w:ascii="仿宋" w:eastAsia="仿宋" w:hAnsi="仿宋" w:hint="eastAsia"/>
          <w:sz w:val="32"/>
          <w:szCs w:val="32"/>
        </w:rPr>
      </w:pPr>
    </w:p>
    <w:p w14:paraId="260840DA" w14:textId="77777777" w:rsidR="009C4F3C" w:rsidRDefault="009C4F3C">
      <w:pPr>
        <w:spacing w:line="600" w:lineRule="exact"/>
        <w:ind w:firstLineChars="200" w:firstLine="640"/>
        <w:outlineLvl w:val="1"/>
        <w:rPr>
          <w:rFonts w:ascii="仿宋" w:eastAsia="仿宋" w:hAnsi="仿宋" w:hint="eastAsia"/>
          <w:sz w:val="32"/>
          <w:szCs w:val="32"/>
        </w:rPr>
      </w:pPr>
    </w:p>
    <w:p w14:paraId="25ACB740" w14:textId="77777777" w:rsidR="009C4F3C" w:rsidRDefault="009C4F3C">
      <w:pPr>
        <w:pStyle w:val="a3"/>
        <w:spacing w:before="93"/>
        <w:rPr>
          <w:rFonts w:ascii="仿宋" w:eastAsia="仿宋" w:hAnsi="仿宋" w:hint="eastAsia"/>
          <w:sz w:val="32"/>
          <w:szCs w:val="32"/>
        </w:rPr>
      </w:pPr>
    </w:p>
    <w:p w14:paraId="6DFED3BC" w14:textId="77777777" w:rsidR="009C4F3C" w:rsidRDefault="009C4F3C">
      <w:pPr>
        <w:spacing w:line="600" w:lineRule="exact"/>
        <w:ind w:firstLineChars="200" w:firstLine="640"/>
        <w:outlineLvl w:val="1"/>
        <w:rPr>
          <w:rFonts w:ascii="仿宋" w:eastAsia="仿宋" w:hAnsi="仿宋" w:hint="eastAsia"/>
          <w:sz w:val="32"/>
          <w:szCs w:val="32"/>
        </w:rPr>
      </w:pPr>
    </w:p>
    <w:p w14:paraId="640DCA0E" w14:textId="77777777" w:rsidR="009C4F3C" w:rsidRDefault="009C4F3C">
      <w:pPr>
        <w:spacing w:line="600" w:lineRule="exact"/>
        <w:ind w:firstLineChars="200" w:firstLine="640"/>
        <w:rPr>
          <w:rFonts w:ascii="仿宋" w:eastAsia="仿宋" w:hAnsi="仿宋" w:hint="eastAsia"/>
          <w:sz w:val="32"/>
          <w:szCs w:val="32"/>
        </w:rPr>
      </w:pPr>
    </w:p>
    <w:p w14:paraId="000D778C" w14:textId="77777777" w:rsidR="009C4F3C" w:rsidRDefault="009C4F3C">
      <w:pPr>
        <w:spacing w:line="600" w:lineRule="exact"/>
        <w:ind w:firstLineChars="200" w:firstLine="640"/>
        <w:rPr>
          <w:rFonts w:ascii="仿宋" w:eastAsia="仿宋" w:hAnsi="仿宋" w:hint="eastAsia"/>
          <w:sz w:val="32"/>
          <w:szCs w:val="32"/>
        </w:rPr>
      </w:pPr>
    </w:p>
    <w:p w14:paraId="1FAFDE06" w14:textId="77777777" w:rsidR="009C4F3C" w:rsidRDefault="00EF39FE">
      <w:pPr>
        <w:spacing w:line="600" w:lineRule="exact"/>
        <w:ind w:firstLineChars="200" w:firstLine="640"/>
      </w:pPr>
      <w:r>
        <w:rPr>
          <w:rFonts w:ascii="仿宋" w:eastAsia="仿宋" w:hAnsi="仿宋" w:hint="eastAsia"/>
          <w:sz w:val="32"/>
          <w:szCs w:val="32"/>
        </w:rPr>
        <w:t>（图2：收入决算结构图）（饼状图）</w:t>
      </w:r>
    </w:p>
    <w:p w14:paraId="38E54D72" w14:textId="77777777" w:rsidR="009C4F3C" w:rsidRDefault="00EF39FE">
      <w:pPr>
        <w:pStyle w:val="af0"/>
        <w:numPr>
          <w:ilvl w:val="0"/>
          <w:numId w:val="2"/>
        </w:numPr>
        <w:spacing w:line="600" w:lineRule="exact"/>
        <w:ind w:firstLineChars="0"/>
        <w:outlineLvl w:val="1"/>
        <w:rPr>
          <w:rStyle w:val="20"/>
          <w:rFonts w:ascii="黑体" w:eastAsia="黑体" w:hAnsi="黑体" w:hint="eastAsia"/>
          <w:b w:val="0"/>
        </w:rPr>
      </w:pPr>
      <w:bookmarkStart w:id="27" w:name="_Toc15377207"/>
      <w:bookmarkStart w:id="28" w:name="_Toc15396605"/>
      <w:r>
        <w:rPr>
          <w:rFonts w:ascii="黑体" w:eastAsia="黑体" w:hAnsi="黑体" w:hint="eastAsia"/>
          <w:sz w:val="32"/>
          <w:szCs w:val="32"/>
        </w:rPr>
        <w:t>支</w:t>
      </w:r>
      <w:r>
        <w:rPr>
          <w:rStyle w:val="20"/>
          <w:rFonts w:ascii="黑体" w:eastAsia="黑体" w:hAnsi="黑体" w:hint="eastAsia"/>
          <w:b w:val="0"/>
        </w:rPr>
        <w:t>出决算情况说明</w:t>
      </w:r>
      <w:bookmarkEnd w:id="27"/>
      <w:bookmarkEnd w:id="28"/>
    </w:p>
    <w:p w14:paraId="4FD8D78B" w14:textId="77777777" w:rsidR="009C4F3C" w:rsidRDefault="00EF39FE">
      <w:pPr>
        <w:ind w:firstLineChars="200" w:firstLine="600"/>
        <w:rPr>
          <w:rFonts w:ascii="仿宋_GB2312" w:eastAsia="仿宋_GB2312" w:hAnsi="仿宋" w:hint="eastAsia"/>
          <w:spacing w:val="-10"/>
          <w:sz w:val="32"/>
          <w:szCs w:val="32"/>
        </w:rPr>
      </w:pPr>
      <w:bookmarkStart w:id="29" w:name="_Toc9394"/>
      <w:r>
        <w:rPr>
          <w:rFonts w:ascii="仿宋_GB2312" w:eastAsia="仿宋_GB2312" w:hAnsi="仿宋"/>
          <w:spacing w:val="-10"/>
          <w:sz w:val="32"/>
          <w:szCs w:val="32"/>
        </w:rPr>
        <w:t>20</w:t>
      </w:r>
      <w:r>
        <w:rPr>
          <w:rFonts w:ascii="仿宋_GB2312" w:eastAsia="仿宋_GB2312" w:hAnsi="仿宋" w:hint="eastAsia"/>
          <w:spacing w:val="-10"/>
          <w:sz w:val="32"/>
          <w:szCs w:val="32"/>
        </w:rPr>
        <w:t>23年本年支出合计1532.32万元，其中：基本支出311.00万元，占20.30</w:t>
      </w:r>
      <w:r>
        <w:rPr>
          <w:rFonts w:ascii="仿宋_GB2312" w:eastAsia="仿宋_GB2312" w:hAnsi="仿宋"/>
          <w:spacing w:val="-10"/>
          <w:sz w:val="32"/>
          <w:szCs w:val="32"/>
        </w:rPr>
        <w:t>%</w:t>
      </w:r>
      <w:r>
        <w:rPr>
          <w:rFonts w:ascii="仿宋_GB2312" w:eastAsia="仿宋_GB2312" w:hAnsi="仿宋" w:hint="eastAsia"/>
          <w:spacing w:val="-10"/>
          <w:sz w:val="32"/>
          <w:szCs w:val="32"/>
        </w:rPr>
        <w:t>；项目支出1221.32万元，占79.70</w:t>
      </w:r>
      <w:r>
        <w:rPr>
          <w:rFonts w:ascii="仿宋_GB2312" w:eastAsia="仿宋_GB2312" w:hAnsi="仿宋"/>
          <w:spacing w:val="-10"/>
          <w:sz w:val="32"/>
          <w:szCs w:val="32"/>
        </w:rPr>
        <w:t>%</w:t>
      </w:r>
      <w:r>
        <w:rPr>
          <w:rFonts w:ascii="仿宋_GB2312" w:eastAsia="仿宋_GB2312" w:hAnsi="仿宋" w:hint="eastAsia"/>
          <w:spacing w:val="-10"/>
          <w:sz w:val="32"/>
          <w:szCs w:val="32"/>
        </w:rPr>
        <w:t>.</w:t>
      </w:r>
      <w:bookmarkEnd w:id="29"/>
    </w:p>
    <w:p w14:paraId="4CD1D420" w14:textId="77777777" w:rsidR="009C4F3C" w:rsidRDefault="00EF39FE">
      <w:pPr>
        <w:spacing w:line="600" w:lineRule="exact"/>
        <w:outlineLvl w:val="1"/>
        <w:rPr>
          <w:rFonts w:ascii="仿宋" w:eastAsia="仿宋" w:hAnsi="仿宋" w:hint="eastAsia"/>
          <w:b/>
          <w:sz w:val="32"/>
          <w:szCs w:val="32"/>
        </w:rPr>
      </w:pPr>
      <w:bookmarkStart w:id="30" w:name="_Toc8867"/>
      <w:r>
        <w:rPr>
          <w:rFonts w:ascii="仿宋" w:eastAsia="仿宋" w:hAnsi="仿宋" w:hint="eastAsia"/>
          <w:b/>
          <w:sz w:val="32"/>
          <w:szCs w:val="32"/>
        </w:rPr>
        <w:t>（注：数据来源于财决</w:t>
      </w:r>
      <w:r>
        <w:rPr>
          <w:rFonts w:ascii="仿宋" w:eastAsia="仿宋" w:hAnsi="仿宋"/>
          <w:b/>
          <w:sz w:val="32"/>
          <w:szCs w:val="32"/>
        </w:rPr>
        <w:t>04</w:t>
      </w:r>
      <w:r>
        <w:rPr>
          <w:rFonts w:ascii="仿宋" w:eastAsia="仿宋" w:hAnsi="仿宋" w:hint="eastAsia"/>
          <w:b/>
          <w:sz w:val="32"/>
          <w:szCs w:val="32"/>
        </w:rPr>
        <w:t>表，仅罗列本部门涉及的支出。）</w:t>
      </w:r>
      <w:bookmarkEnd w:id="30"/>
    </w:p>
    <w:p w14:paraId="28C3A74B" w14:textId="77777777" w:rsidR="009C4F3C" w:rsidRDefault="00EF39FE">
      <w:pPr>
        <w:pStyle w:val="a3"/>
        <w:spacing w:before="93"/>
        <w:rPr>
          <w:rFonts w:ascii="仿宋" w:eastAsia="仿宋" w:hAnsi="仿宋" w:hint="eastAsia"/>
          <w:b/>
          <w:sz w:val="32"/>
          <w:szCs w:val="32"/>
        </w:rPr>
      </w:pPr>
      <w:r>
        <w:rPr>
          <w:noProof/>
        </w:rPr>
        <w:drawing>
          <wp:anchor distT="0" distB="0" distL="114300" distR="114300" simplePos="0" relativeHeight="251664384" behindDoc="0" locked="0" layoutInCell="1" allowOverlap="1" wp14:anchorId="33FEBA48" wp14:editId="4E3D24D6">
            <wp:simplePos x="0" y="0"/>
            <wp:positionH relativeFrom="column">
              <wp:posOffset>1200785</wp:posOffset>
            </wp:positionH>
            <wp:positionV relativeFrom="paragraph">
              <wp:posOffset>130810</wp:posOffset>
            </wp:positionV>
            <wp:extent cx="2189480" cy="1790700"/>
            <wp:effectExtent l="4445" t="4445" r="10795" b="15875"/>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4F5AFA6" w14:textId="77777777" w:rsidR="009C4F3C" w:rsidRDefault="009C4F3C">
      <w:pPr>
        <w:pStyle w:val="a3"/>
        <w:spacing w:before="93"/>
        <w:rPr>
          <w:rFonts w:ascii="仿宋" w:eastAsia="仿宋" w:hAnsi="仿宋" w:hint="eastAsia"/>
          <w:b/>
          <w:sz w:val="32"/>
          <w:szCs w:val="32"/>
        </w:rPr>
      </w:pPr>
    </w:p>
    <w:p w14:paraId="1060777B" w14:textId="77777777" w:rsidR="009C4F3C" w:rsidRDefault="009C4F3C">
      <w:pPr>
        <w:pStyle w:val="a3"/>
        <w:spacing w:before="93"/>
        <w:rPr>
          <w:rFonts w:ascii="仿宋" w:eastAsia="仿宋" w:hAnsi="仿宋" w:hint="eastAsia"/>
          <w:b/>
          <w:sz w:val="32"/>
          <w:szCs w:val="32"/>
        </w:rPr>
      </w:pPr>
    </w:p>
    <w:p w14:paraId="5FD46D0B" w14:textId="77777777" w:rsidR="009C4F3C" w:rsidRDefault="009C4F3C">
      <w:pPr>
        <w:pStyle w:val="a3"/>
        <w:spacing w:before="93"/>
        <w:rPr>
          <w:rFonts w:ascii="仿宋" w:eastAsia="仿宋" w:hAnsi="仿宋" w:hint="eastAsia"/>
          <w:b/>
          <w:sz w:val="32"/>
          <w:szCs w:val="32"/>
        </w:rPr>
      </w:pPr>
    </w:p>
    <w:p w14:paraId="73682425" w14:textId="77777777" w:rsidR="009C4F3C" w:rsidRDefault="00EF39FE">
      <w:pPr>
        <w:spacing w:line="600" w:lineRule="exact"/>
        <w:ind w:firstLineChars="400" w:firstLine="1280"/>
        <w:rPr>
          <w:rFonts w:ascii="仿宋_GB2312" w:eastAsia="仿宋_GB2312"/>
          <w:sz w:val="32"/>
          <w:szCs w:val="32"/>
        </w:rPr>
      </w:pPr>
      <w:r>
        <w:rPr>
          <w:rFonts w:ascii="仿宋" w:eastAsia="仿宋" w:hAnsi="仿宋" w:hint="eastAsia"/>
          <w:sz w:val="32"/>
          <w:szCs w:val="32"/>
        </w:rPr>
        <w:t>（图3：支出决算结构图）（饼状图）</w:t>
      </w:r>
    </w:p>
    <w:p w14:paraId="7D3FA7E2" w14:textId="77777777" w:rsidR="009C4F3C" w:rsidRDefault="00EF39FE">
      <w:pPr>
        <w:spacing w:line="600" w:lineRule="exact"/>
        <w:ind w:firstLineChars="200" w:firstLine="640"/>
        <w:outlineLvl w:val="1"/>
        <w:rPr>
          <w:rStyle w:val="20"/>
          <w:rFonts w:ascii="黑体" w:eastAsia="黑体" w:hAnsi="黑体" w:hint="eastAsia"/>
          <w:b w:val="0"/>
        </w:rPr>
      </w:pPr>
      <w:bookmarkStart w:id="31" w:name="_Toc15396606"/>
      <w:bookmarkStart w:id="32" w:name="_Toc15377208"/>
      <w:r>
        <w:rPr>
          <w:rFonts w:ascii="黑体" w:eastAsia="黑体" w:hAnsi="黑体" w:hint="eastAsia"/>
          <w:sz w:val="32"/>
          <w:szCs w:val="32"/>
        </w:rPr>
        <w:t>四、财</w:t>
      </w:r>
      <w:r>
        <w:rPr>
          <w:rStyle w:val="20"/>
          <w:rFonts w:ascii="黑体" w:eastAsia="黑体" w:hAnsi="黑体" w:hint="eastAsia"/>
          <w:b w:val="0"/>
        </w:rPr>
        <w:t>政拨款收入支出决算总体情况说明</w:t>
      </w:r>
      <w:bookmarkEnd w:id="31"/>
      <w:bookmarkEnd w:id="32"/>
    </w:p>
    <w:p w14:paraId="0E188077" w14:textId="77777777" w:rsidR="009C4F3C" w:rsidRDefault="00EF39FE">
      <w:pPr>
        <w:ind w:firstLineChars="200" w:firstLine="600"/>
        <w:rPr>
          <w:rFonts w:ascii="仿宋_GB2312" w:eastAsia="仿宋_GB2312" w:hAnsi="仿宋" w:hint="eastAsia"/>
          <w:spacing w:val="-10"/>
          <w:sz w:val="32"/>
          <w:szCs w:val="32"/>
        </w:rPr>
      </w:pPr>
      <w:r>
        <w:rPr>
          <w:rFonts w:ascii="仿宋_GB2312" w:eastAsia="仿宋_GB2312" w:hAnsi="仿宋"/>
          <w:spacing w:val="-10"/>
          <w:sz w:val="32"/>
          <w:szCs w:val="32"/>
        </w:rPr>
        <w:t>20</w:t>
      </w:r>
      <w:r>
        <w:rPr>
          <w:rFonts w:ascii="仿宋_GB2312" w:eastAsia="仿宋_GB2312" w:hAnsi="仿宋" w:hint="eastAsia"/>
          <w:spacing w:val="-10"/>
          <w:sz w:val="32"/>
          <w:szCs w:val="32"/>
        </w:rPr>
        <w:t>23年财政拨款收、支总计1532.32万元。与</w:t>
      </w:r>
      <w:r>
        <w:rPr>
          <w:rFonts w:ascii="仿宋_GB2312" w:eastAsia="仿宋_GB2312" w:hAnsi="仿宋"/>
          <w:spacing w:val="-10"/>
          <w:sz w:val="32"/>
          <w:szCs w:val="32"/>
        </w:rPr>
        <w:t>20</w:t>
      </w:r>
      <w:r>
        <w:rPr>
          <w:rFonts w:ascii="仿宋_GB2312" w:eastAsia="仿宋_GB2312" w:hAnsi="仿宋" w:hint="eastAsia"/>
          <w:spacing w:val="-10"/>
          <w:sz w:val="32"/>
          <w:szCs w:val="32"/>
        </w:rPr>
        <w:t>22年相比，财政拨款收、支总计各增加95万元，增长6.00%。主要变动原因是预算较上年增加。</w:t>
      </w:r>
    </w:p>
    <w:p w14:paraId="5D051657" w14:textId="3F76189B" w:rsidR="009C4F3C" w:rsidRDefault="00EF39FE">
      <w:pPr>
        <w:spacing w:line="600" w:lineRule="exact"/>
        <w:ind w:firstLine="640"/>
        <w:rPr>
          <w:rFonts w:ascii="仿宋" w:eastAsia="仿宋" w:hAnsi="仿宋" w:hint="eastAsia"/>
          <w:b/>
          <w:sz w:val="32"/>
          <w:szCs w:val="32"/>
        </w:rPr>
      </w:pPr>
      <w:r>
        <w:rPr>
          <w:rFonts w:ascii="仿宋" w:eastAsia="仿宋" w:hAnsi="仿宋" w:hint="eastAsia"/>
          <w:b/>
          <w:sz w:val="32"/>
          <w:szCs w:val="32"/>
        </w:rPr>
        <w:t>（注：数据来源于财决</w:t>
      </w:r>
      <w:r>
        <w:rPr>
          <w:rFonts w:ascii="仿宋" w:eastAsia="仿宋" w:hAnsi="仿宋"/>
          <w:b/>
          <w:sz w:val="32"/>
          <w:szCs w:val="32"/>
        </w:rPr>
        <w:t>01-1</w:t>
      </w:r>
      <w:r>
        <w:rPr>
          <w:rFonts w:ascii="仿宋" w:eastAsia="仿宋" w:hAnsi="仿宋" w:hint="eastAsia"/>
          <w:b/>
          <w:sz w:val="32"/>
          <w:szCs w:val="32"/>
        </w:rPr>
        <w:t>表</w:t>
      </w:r>
      <w:r>
        <w:rPr>
          <w:rFonts w:ascii="仿宋" w:eastAsia="仿宋" w:hAnsi="仿宋"/>
          <w:b/>
          <w:sz w:val="32"/>
          <w:szCs w:val="32"/>
        </w:rPr>
        <w:t>）</w:t>
      </w:r>
    </w:p>
    <w:p w14:paraId="04A49DB8" w14:textId="77777777" w:rsidR="0046508B" w:rsidRPr="0046508B" w:rsidRDefault="0046508B" w:rsidP="0046508B">
      <w:pPr>
        <w:pStyle w:val="Default"/>
      </w:pPr>
    </w:p>
    <w:p w14:paraId="376A5AA0" w14:textId="77777777" w:rsidR="009C4F3C" w:rsidRDefault="00EF39FE">
      <w:pPr>
        <w:spacing w:line="600" w:lineRule="exact"/>
        <w:rPr>
          <w:rFonts w:ascii="仿宋" w:eastAsia="仿宋" w:hAnsi="仿宋" w:hint="eastAsia"/>
          <w:sz w:val="32"/>
          <w:szCs w:val="32"/>
        </w:rPr>
      </w:pPr>
      <w:r>
        <w:rPr>
          <w:noProof/>
        </w:rPr>
        <w:lastRenderedPageBreak/>
        <w:drawing>
          <wp:anchor distT="0" distB="0" distL="114300" distR="114300" simplePos="0" relativeHeight="251665408" behindDoc="0" locked="0" layoutInCell="1" allowOverlap="1" wp14:anchorId="1ABB06ED" wp14:editId="14057C21">
            <wp:simplePos x="0" y="0"/>
            <wp:positionH relativeFrom="column">
              <wp:posOffset>525145</wp:posOffset>
            </wp:positionH>
            <wp:positionV relativeFrom="paragraph">
              <wp:posOffset>-245110</wp:posOffset>
            </wp:positionV>
            <wp:extent cx="4563110" cy="2490470"/>
            <wp:effectExtent l="4445" t="4445" r="19050" b="5080"/>
            <wp:wrapSquare wrapText="bothSides"/>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623818C" w14:textId="77777777" w:rsidR="009C4F3C" w:rsidRDefault="009C4F3C">
      <w:pPr>
        <w:spacing w:line="600" w:lineRule="exact"/>
        <w:rPr>
          <w:rFonts w:ascii="仿宋" w:eastAsia="仿宋" w:hAnsi="仿宋" w:hint="eastAsia"/>
          <w:sz w:val="32"/>
          <w:szCs w:val="32"/>
        </w:rPr>
      </w:pPr>
    </w:p>
    <w:p w14:paraId="1B2D8E09" w14:textId="77777777" w:rsidR="009C4F3C" w:rsidRDefault="009C4F3C">
      <w:pPr>
        <w:pStyle w:val="Default"/>
      </w:pPr>
    </w:p>
    <w:p w14:paraId="3DAEAF42" w14:textId="77777777" w:rsidR="009C4F3C" w:rsidRDefault="009C4F3C">
      <w:pPr>
        <w:spacing w:line="600" w:lineRule="exact"/>
        <w:rPr>
          <w:rFonts w:ascii="仿宋" w:eastAsia="仿宋" w:hAnsi="仿宋" w:hint="eastAsia"/>
          <w:sz w:val="32"/>
          <w:szCs w:val="32"/>
        </w:rPr>
      </w:pPr>
    </w:p>
    <w:p w14:paraId="71865575" w14:textId="77777777" w:rsidR="009C4F3C" w:rsidRDefault="009C4F3C">
      <w:pPr>
        <w:spacing w:line="600" w:lineRule="exact"/>
        <w:rPr>
          <w:rFonts w:ascii="仿宋" w:eastAsia="仿宋" w:hAnsi="仿宋" w:hint="eastAsia"/>
          <w:sz w:val="32"/>
          <w:szCs w:val="32"/>
        </w:rPr>
      </w:pPr>
    </w:p>
    <w:p w14:paraId="49896B94" w14:textId="77777777" w:rsidR="009C4F3C" w:rsidRDefault="009C4F3C">
      <w:pPr>
        <w:spacing w:line="600" w:lineRule="exact"/>
        <w:rPr>
          <w:rFonts w:ascii="仿宋" w:eastAsia="仿宋" w:hAnsi="仿宋" w:hint="eastAsia"/>
          <w:sz w:val="32"/>
          <w:szCs w:val="32"/>
        </w:rPr>
      </w:pPr>
    </w:p>
    <w:p w14:paraId="37F0F332" w14:textId="77777777" w:rsidR="009C4F3C" w:rsidRDefault="00EF39FE">
      <w:pPr>
        <w:spacing w:line="600" w:lineRule="exact"/>
        <w:ind w:firstLineChars="200" w:firstLine="640"/>
        <w:rPr>
          <w:rFonts w:ascii="仿宋" w:eastAsia="仿宋" w:hAnsi="仿宋" w:hint="eastAsia"/>
          <w:sz w:val="32"/>
          <w:szCs w:val="32"/>
        </w:rPr>
      </w:pPr>
      <w:r>
        <w:rPr>
          <w:noProof/>
          <w:sz w:val="32"/>
        </w:rPr>
        <mc:AlternateContent>
          <mc:Choice Requires="wps">
            <w:drawing>
              <wp:anchor distT="0" distB="0" distL="114300" distR="114300" simplePos="0" relativeHeight="251666432" behindDoc="0" locked="0" layoutInCell="1" allowOverlap="1" wp14:anchorId="3177C326" wp14:editId="5A865561">
                <wp:simplePos x="0" y="0"/>
                <wp:positionH relativeFrom="column">
                  <wp:posOffset>940435</wp:posOffset>
                </wp:positionH>
                <wp:positionV relativeFrom="paragraph">
                  <wp:posOffset>26035</wp:posOffset>
                </wp:positionV>
                <wp:extent cx="3713480" cy="273050"/>
                <wp:effectExtent l="4445" t="4445" r="22225" b="17780"/>
                <wp:wrapNone/>
                <wp:docPr id="9" name="文本框 9"/>
                <wp:cNvGraphicFramePr/>
                <a:graphic xmlns:a="http://schemas.openxmlformats.org/drawingml/2006/main">
                  <a:graphicData uri="http://schemas.microsoft.com/office/word/2010/wordprocessingShape">
                    <wps:wsp>
                      <wps:cNvSpPr txBox="1"/>
                      <wps:spPr>
                        <a:xfrm>
                          <a:off x="1913890" y="9044305"/>
                          <a:ext cx="3713480" cy="2730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880E38C" w14:textId="77777777" w:rsidR="009C4F3C" w:rsidRDefault="00EF39FE">
                            <w:pPr>
                              <w:ind w:firstLineChars="600" w:firstLine="900"/>
                              <w:rPr>
                                <w:sz w:val="15"/>
                                <w:szCs w:val="15"/>
                              </w:rPr>
                            </w:pPr>
                            <w:r>
                              <w:rPr>
                                <w:rFonts w:hint="eastAsia"/>
                                <w:sz w:val="15"/>
                                <w:szCs w:val="15"/>
                              </w:rPr>
                              <w:t>2023</w:t>
                            </w:r>
                            <w:r>
                              <w:rPr>
                                <w:rFonts w:hint="eastAsia"/>
                                <w:sz w:val="15"/>
                                <w:szCs w:val="15"/>
                              </w:rPr>
                              <w:t>年</w:t>
                            </w:r>
                            <w:r>
                              <w:rPr>
                                <w:rFonts w:hint="eastAsia"/>
                                <w:sz w:val="15"/>
                                <w:szCs w:val="15"/>
                              </w:rPr>
                              <w:t xml:space="preserve">                                               2022</w:t>
                            </w:r>
                            <w:r>
                              <w:rPr>
                                <w:rFonts w:hint="eastAsia"/>
                                <w:sz w:val="15"/>
                                <w:szCs w:val="15"/>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177C326" id="_x0000_t202" coordsize="21600,21600" o:spt="202" path="m,l,21600r21600,l21600,xe">
                <v:stroke joinstyle="miter"/>
                <v:path gradientshapeok="t" o:connecttype="rect"/>
              </v:shapetype>
              <v:shape id="文本框 9" o:spid="_x0000_s1026" type="#_x0000_t202" style="position:absolute;left:0;text-align:left;margin-left:74.05pt;margin-top:2.05pt;width:292.4pt;height:2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xmagIAAFEFAAAOAAAAZHJzL2Uyb0RvYy54bWysVN9v0zAQfkfif7D8TtO02dZWS6eyqQhp&#10;YhMD8ew6dmPh+IztNil/PWcn7TaYhIZ4cc657359vrvLq67RZC+cV2BKmo/GlAjDoVJmW9KvX9bv&#10;ZpT4wEzFNBhR0oPw9Gr59s1laxdiAjXoSjiCToxftLakdQh2kWWe16JhfgRWGFRKcA0LeHXbrHKs&#10;Re+Nzibj8XnWgqusAy68x783vZIuk38pBQ93UnoRiC4p5hbS6dK5iWe2vGSLrWO2VnxIg/1DFg1T&#10;BoOeXN2wwMjOqT9cNYo78CDDiEOTgZSKi1QDVpOPf6vmoWZWpFqQHG9PNPn/55Z/2j/Ye0dC9x46&#10;fMBISGv9wuPPWE8nXRO/mCmJ+nk+nc2RyENJ5+OimI7PegpFFwhHwPQinxYzBHBETC5QnzjOHj1Z&#10;58MHAQ2JQkkdPlFiju1vfcDoCD1CYmAPWlVrpXW6xLYQ19qRPcMH1SHlixbPUNqQtqTnUwz9Nw+b&#10;7Qse0J82mMgjD0kKBy2iP20+C0lUhdUOAZ5nxTgX5pRZQkcziTW8xnDAR1ORGvk1xieLFBlMOBk3&#10;yoDreXmedvX9SIXs8UcG+rojBaHbdEN/bKA6YNs46CfKW75W+J63zId75nCEsAVwLYQ7PKQGfA8Y&#10;JEpqcD9f+h/x2NmopaTFkSyp/7FjTlCiPxrs+XleFHGG06U4u5jgxT3VbJ5qzK65BmySHBeQ5UmM&#10;+KCPonTQfMPtsYpRUcUMx9glDUfxOvSLArcPF6tVAuHUWhZuzYPl0XWk18BqF0Cq1LyRpp6bgT6c&#10;29TTw46Ji+HpPaEeN+HyFwAAAP//AwBQSwMEFAAGAAgAAAAhAA+tebvdAAAACAEAAA8AAABkcnMv&#10;ZG93bnJldi54bWxMj0FLw0AQhe+C/2EZwZvdpA02xmxKUERQQaxevE2zYxLMzobstk3/veNJT8PH&#10;e7x5r9zMblAHmkLv2UC6SEARN9723Br4eH+4ykGFiGxx8EwGThRgU52flVhYf+Q3OmxjqySEQ4EG&#10;uhjHQuvQdOQwLPxILNqXnxxGwanVdsKjhLtBL5PkWjvsWT50ONJdR833du8MPGWfeL+Kz3SKPL/W&#10;9WM+ZuHFmMuLub4FFWmOf2b4rS/VoZJOO79nG9QgnOWpWA1kckRfr5Y3oHbC6xR0Ver/A6ofAAAA&#10;//8DAFBLAQItABQABgAIAAAAIQC2gziS/gAAAOEBAAATAAAAAAAAAAAAAAAAAAAAAABbQ29udGVu&#10;dF9UeXBlc10ueG1sUEsBAi0AFAAGAAgAAAAhADj9If/WAAAAlAEAAAsAAAAAAAAAAAAAAAAALwEA&#10;AF9yZWxzLy5yZWxzUEsBAi0AFAAGAAgAAAAhAIgs7GZqAgAAUQUAAA4AAAAAAAAAAAAAAAAALgIA&#10;AGRycy9lMm9Eb2MueG1sUEsBAi0AFAAGAAgAAAAhAA+tebvdAAAACAEAAA8AAAAAAAAAAAAAAAAA&#10;xAQAAGRycy9kb3ducmV2LnhtbFBLBQYAAAAABAAEAPMAAADOBQAAAAA=&#10;" fillcolor="white [3201]" strokecolor="white [3212]" strokeweight=".5pt">
                <v:textbox>
                  <w:txbxContent>
                    <w:p w14:paraId="0880E38C" w14:textId="77777777" w:rsidR="009C4F3C" w:rsidRDefault="00EF39FE">
                      <w:pPr>
                        <w:ind w:firstLineChars="600" w:firstLine="900"/>
                        <w:rPr>
                          <w:sz w:val="15"/>
                          <w:szCs w:val="15"/>
                        </w:rPr>
                      </w:pPr>
                      <w:r>
                        <w:rPr>
                          <w:rFonts w:hint="eastAsia"/>
                          <w:sz w:val="15"/>
                          <w:szCs w:val="15"/>
                        </w:rPr>
                        <w:t>2023</w:t>
                      </w:r>
                      <w:r>
                        <w:rPr>
                          <w:rFonts w:hint="eastAsia"/>
                          <w:sz w:val="15"/>
                          <w:szCs w:val="15"/>
                        </w:rPr>
                        <w:t>年</w:t>
                      </w:r>
                      <w:r>
                        <w:rPr>
                          <w:rFonts w:hint="eastAsia"/>
                          <w:sz w:val="15"/>
                          <w:szCs w:val="15"/>
                        </w:rPr>
                        <w:t xml:space="preserve">                                               2022</w:t>
                      </w:r>
                      <w:r>
                        <w:rPr>
                          <w:rFonts w:hint="eastAsia"/>
                          <w:sz w:val="15"/>
                          <w:szCs w:val="15"/>
                        </w:rPr>
                        <w:t>年</w:t>
                      </w:r>
                    </w:p>
                  </w:txbxContent>
                </v:textbox>
              </v:shape>
            </w:pict>
          </mc:Fallback>
        </mc:AlternateContent>
      </w:r>
    </w:p>
    <w:p w14:paraId="31AE8441" w14:textId="77777777" w:rsidR="009C4F3C" w:rsidRDefault="00EF39FE">
      <w:pPr>
        <w:spacing w:line="600" w:lineRule="exact"/>
        <w:rPr>
          <w:rFonts w:ascii="仿宋" w:eastAsia="仿宋" w:hAnsi="仿宋" w:hint="eastAsia"/>
          <w:sz w:val="32"/>
          <w:szCs w:val="32"/>
        </w:rPr>
      </w:pPr>
      <w:r>
        <w:rPr>
          <w:rFonts w:ascii="仿宋" w:eastAsia="仿宋" w:hAnsi="仿宋" w:hint="eastAsia"/>
          <w:sz w:val="32"/>
          <w:szCs w:val="32"/>
        </w:rPr>
        <w:t>（图4：财政拨款收、支决算总计变动况情）（柱状图）</w:t>
      </w:r>
    </w:p>
    <w:p w14:paraId="0F148935" w14:textId="77777777" w:rsidR="009C4F3C" w:rsidRDefault="00EF39FE">
      <w:pPr>
        <w:spacing w:line="600" w:lineRule="exact"/>
        <w:ind w:firstLineChars="200" w:firstLine="640"/>
        <w:outlineLvl w:val="1"/>
        <w:rPr>
          <w:rStyle w:val="20"/>
          <w:rFonts w:ascii="黑体" w:eastAsia="黑体" w:hAnsi="黑体" w:hint="eastAsia"/>
          <w:b w:val="0"/>
        </w:rPr>
      </w:pPr>
      <w:bookmarkStart w:id="33" w:name="_Toc15396607"/>
      <w:bookmarkStart w:id="34" w:name="_Toc15377209"/>
      <w:r>
        <w:rPr>
          <w:rFonts w:ascii="黑体" w:eastAsia="黑体" w:hAnsi="黑体" w:hint="eastAsia"/>
          <w:sz w:val="32"/>
          <w:szCs w:val="32"/>
        </w:rPr>
        <w:t>五、</w:t>
      </w:r>
      <w:r>
        <w:rPr>
          <w:rFonts w:ascii="黑体" w:eastAsia="黑体" w:hAnsi="黑体" w:hint="eastAsia"/>
          <w:b/>
          <w:sz w:val="32"/>
          <w:szCs w:val="32"/>
        </w:rPr>
        <w:t>一</w:t>
      </w:r>
      <w:r>
        <w:rPr>
          <w:rStyle w:val="20"/>
          <w:rFonts w:ascii="黑体" w:eastAsia="黑体" w:hAnsi="黑体" w:hint="eastAsia"/>
          <w:b w:val="0"/>
        </w:rPr>
        <w:t>般公共预算财政拨款支出决算情况说明</w:t>
      </w:r>
      <w:bookmarkEnd w:id="33"/>
      <w:bookmarkEnd w:id="34"/>
    </w:p>
    <w:p w14:paraId="21E076B2" w14:textId="77777777" w:rsidR="009C4F3C" w:rsidRDefault="00EF39FE">
      <w:pPr>
        <w:spacing w:line="600" w:lineRule="exact"/>
        <w:ind w:firstLineChars="200" w:firstLine="643"/>
        <w:outlineLvl w:val="2"/>
        <w:rPr>
          <w:rFonts w:ascii="仿宋" w:eastAsia="仿宋" w:hAnsi="仿宋" w:hint="eastAsia"/>
          <w:b/>
          <w:sz w:val="32"/>
          <w:szCs w:val="32"/>
        </w:rPr>
      </w:pPr>
      <w:bookmarkStart w:id="35" w:name="_Toc15377210"/>
      <w:r>
        <w:rPr>
          <w:rFonts w:ascii="仿宋" w:eastAsia="仿宋" w:hAnsi="仿宋" w:hint="eastAsia"/>
          <w:b/>
          <w:sz w:val="32"/>
          <w:szCs w:val="32"/>
        </w:rPr>
        <w:t>（一）一般公共预算财政拨款支出决算总体情况</w:t>
      </w:r>
    </w:p>
    <w:p w14:paraId="3B36463C" w14:textId="77777777" w:rsidR="009C4F3C" w:rsidRDefault="00EF39FE">
      <w:pPr>
        <w:ind w:firstLineChars="200" w:firstLine="600"/>
        <w:rPr>
          <w:rFonts w:ascii="仿宋" w:eastAsia="仿宋" w:hAnsi="仿宋" w:hint="eastAsia"/>
          <w:sz w:val="32"/>
          <w:szCs w:val="32"/>
        </w:rPr>
      </w:pPr>
      <w:r>
        <w:rPr>
          <w:rFonts w:ascii="仿宋_GB2312" w:eastAsia="仿宋_GB2312" w:hAnsi="仿宋"/>
          <w:spacing w:val="-10"/>
          <w:sz w:val="32"/>
          <w:szCs w:val="32"/>
        </w:rPr>
        <w:t>20</w:t>
      </w:r>
      <w:r>
        <w:rPr>
          <w:rFonts w:ascii="仿宋_GB2312" w:eastAsia="仿宋_GB2312" w:hAnsi="仿宋" w:hint="eastAsia"/>
          <w:spacing w:val="-10"/>
          <w:sz w:val="32"/>
          <w:szCs w:val="32"/>
        </w:rPr>
        <w:t>23年一般公共预算财政拨款支出1532.32万元，占本年支出合计的100</w:t>
      </w:r>
      <w:r>
        <w:rPr>
          <w:rFonts w:ascii="仿宋_GB2312" w:eastAsia="仿宋_GB2312" w:hAnsi="仿宋"/>
          <w:spacing w:val="-10"/>
          <w:sz w:val="32"/>
          <w:szCs w:val="32"/>
        </w:rPr>
        <w:t>%</w:t>
      </w:r>
      <w:r>
        <w:rPr>
          <w:rFonts w:ascii="仿宋_GB2312" w:eastAsia="仿宋_GB2312" w:hAnsi="仿宋" w:hint="eastAsia"/>
          <w:spacing w:val="-10"/>
          <w:sz w:val="32"/>
          <w:szCs w:val="32"/>
        </w:rPr>
        <w:t>。与</w:t>
      </w:r>
      <w:r>
        <w:rPr>
          <w:rFonts w:ascii="仿宋_GB2312" w:eastAsia="仿宋_GB2312" w:hAnsi="仿宋"/>
          <w:spacing w:val="-10"/>
          <w:sz w:val="32"/>
          <w:szCs w:val="32"/>
        </w:rPr>
        <w:t>20</w:t>
      </w:r>
      <w:r>
        <w:rPr>
          <w:rFonts w:ascii="仿宋_GB2312" w:eastAsia="仿宋_GB2312" w:hAnsi="仿宋" w:hint="eastAsia"/>
          <w:spacing w:val="-10"/>
          <w:sz w:val="32"/>
          <w:szCs w:val="32"/>
        </w:rPr>
        <w:t>22年相比，一般公共预算财政拨款支出增加95.00万元，增长6.00%。主要变动原因是预算较上年增加。</w:t>
      </w:r>
    </w:p>
    <w:p w14:paraId="2C312EC9" w14:textId="77777777" w:rsidR="009C4F3C" w:rsidRDefault="00EF39FE">
      <w:pPr>
        <w:spacing w:line="600" w:lineRule="exact"/>
        <w:ind w:firstLineChars="200" w:firstLine="420"/>
        <w:rPr>
          <w:rFonts w:ascii="仿宋" w:eastAsia="仿宋" w:hAnsi="仿宋" w:hint="eastAsia"/>
          <w:sz w:val="32"/>
          <w:szCs w:val="32"/>
        </w:rPr>
      </w:pPr>
      <w:r>
        <w:rPr>
          <w:noProof/>
        </w:rPr>
        <w:drawing>
          <wp:anchor distT="0" distB="0" distL="114300" distR="114300" simplePos="0" relativeHeight="251668480" behindDoc="0" locked="0" layoutInCell="1" allowOverlap="1" wp14:anchorId="6E865C80" wp14:editId="33979AC7">
            <wp:simplePos x="0" y="0"/>
            <wp:positionH relativeFrom="column">
              <wp:posOffset>589280</wp:posOffset>
            </wp:positionH>
            <wp:positionV relativeFrom="paragraph">
              <wp:posOffset>264795</wp:posOffset>
            </wp:positionV>
            <wp:extent cx="4566920" cy="3060700"/>
            <wp:effectExtent l="4445" t="4445" r="15240" b="5715"/>
            <wp:wrapSquare wrapText="bothSides"/>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5DC9754" w14:textId="77777777" w:rsidR="009C4F3C" w:rsidRDefault="00EF39FE">
      <w:pPr>
        <w:tabs>
          <w:tab w:val="left" w:pos="518"/>
        </w:tabs>
        <w:spacing w:line="600" w:lineRule="exact"/>
        <w:ind w:firstLineChars="200" w:firstLine="643"/>
        <w:outlineLvl w:val="2"/>
        <w:rPr>
          <w:rFonts w:ascii="仿宋" w:eastAsia="仿宋" w:hAnsi="仿宋" w:hint="eastAsia"/>
          <w:b/>
          <w:sz w:val="32"/>
          <w:szCs w:val="32"/>
        </w:rPr>
      </w:pPr>
      <w:r>
        <w:rPr>
          <w:rFonts w:ascii="仿宋" w:eastAsia="仿宋" w:hAnsi="仿宋" w:hint="eastAsia"/>
          <w:b/>
          <w:sz w:val="32"/>
          <w:szCs w:val="32"/>
        </w:rPr>
        <w:tab/>
      </w:r>
    </w:p>
    <w:p w14:paraId="2AA66834" w14:textId="77777777" w:rsidR="009C4F3C" w:rsidRDefault="009C4F3C">
      <w:pPr>
        <w:tabs>
          <w:tab w:val="left" w:pos="518"/>
        </w:tabs>
        <w:spacing w:line="600" w:lineRule="exact"/>
        <w:ind w:firstLineChars="200" w:firstLine="643"/>
        <w:outlineLvl w:val="2"/>
        <w:rPr>
          <w:rFonts w:ascii="仿宋" w:eastAsia="仿宋" w:hAnsi="仿宋" w:hint="eastAsia"/>
          <w:b/>
          <w:sz w:val="32"/>
          <w:szCs w:val="32"/>
        </w:rPr>
      </w:pPr>
    </w:p>
    <w:p w14:paraId="4CF861F1" w14:textId="77777777" w:rsidR="009C4F3C" w:rsidRDefault="009C4F3C">
      <w:pPr>
        <w:tabs>
          <w:tab w:val="left" w:pos="518"/>
        </w:tabs>
        <w:spacing w:line="600" w:lineRule="exact"/>
        <w:ind w:firstLineChars="200" w:firstLine="643"/>
        <w:outlineLvl w:val="2"/>
        <w:rPr>
          <w:rFonts w:ascii="仿宋" w:eastAsia="仿宋" w:hAnsi="仿宋" w:hint="eastAsia"/>
          <w:b/>
          <w:sz w:val="32"/>
          <w:szCs w:val="32"/>
        </w:rPr>
      </w:pPr>
    </w:p>
    <w:p w14:paraId="6FD2263A" w14:textId="77777777" w:rsidR="009C4F3C" w:rsidRDefault="009C4F3C">
      <w:pPr>
        <w:tabs>
          <w:tab w:val="left" w:pos="518"/>
        </w:tabs>
        <w:spacing w:line="600" w:lineRule="exact"/>
        <w:ind w:firstLineChars="200" w:firstLine="643"/>
        <w:outlineLvl w:val="2"/>
        <w:rPr>
          <w:rFonts w:ascii="仿宋" w:eastAsia="仿宋" w:hAnsi="仿宋" w:hint="eastAsia"/>
          <w:b/>
          <w:sz w:val="32"/>
          <w:szCs w:val="32"/>
        </w:rPr>
      </w:pPr>
    </w:p>
    <w:p w14:paraId="6C116A71" w14:textId="77777777" w:rsidR="009C4F3C" w:rsidRDefault="009C4F3C">
      <w:pPr>
        <w:tabs>
          <w:tab w:val="left" w:pos="518"/>
        </w:tabs>
        <w:spacing w:line="600" w:lineRule="exact"/>
        <w:ind w:firstLineChars="200" w:firstLine="643"/>
        <w:outlineLvl w:val="2"/>
        <w:rPr>
          <w:rFonts w:ascii="仿宋" w:eastAsia="仿宋" w:hAnsi="仿宋" w:hint="eastAsia"/>
          <w:b/>
          <w:sz w:val="32"/>
          <w:szCs w:val="32"/>
        </w:rPr>
      </w:pPr>
    </w:p>
    <w:p w14:paraId="732D5620" w14:textId="77777777" w:rsidR="009C4F3C" w:rsidRDefault="009C4F3C">
      <w:pPr>
        <w:spacing w:line="600" w:lineRule="exact"/>
        <w:rPr>
          <w:rFonts w:ascii="仿宋" w:eastAsia="仿宋" w:hAnsi="仿宋" w:hint="eastAsia"/>
          <w:sz w:val="32"/>
          <w:szCs w:val="32"/>
        </w:rPr>
      </w:pPr>
    </w:p>
    <w:p w14:paraId="3F7E1A3B" w14:textId="77777777" w:rsidR="009C4F3C" w:rsidRDefault="009C4F3C">
      <w:pPr>
        <w:spacing w:line="560" w:lineRule="exact"/>
        <w:rPr>
          <w:rFonts w:ascii="仿宋" w:eastAsia="仿宋" w:hAnsi="仿宋" w:hint="eastAsia"/>
          <w:sz w:val="32"/>
          <w:szCs w:val="32"/>
        </w:rPr>
      </w:pPr>
    </w:p>
    <w:p w14:paraId="63C11A48" w14:textId="77777777" w:rsidR="009C4F3C" w:rsidRDefault="00EF39FE">
      <w:pPr>
        <w:spacing w:line="600" w:lineRule="exact"/>
        <w:rPr>
          <w:rFonts w:ascii="仿宋" w:eastAsia="仿宋" w:hAnsi="仿宋" w:hint="eastAsia"/>
          <w:b/>
          <w:sz w:val="32"/>
          <w:szCs w:val="32"/>
        </w:rPr>
      </w:pPr>
      <w:r>
        <w:rPr>
          <w:rFonts w:ascii="仿宋" w:eastAsia="仿宋" w:hAnsi="仿宋" w:hint="eastAsia"/>
          <w:sz w:val="32"/>
          <w:szCs w:val="32"/>
        </w:rPr>
        <w:lastRenderedPageBreak/>
        <w:t>（图5：一般公共预算财政拨款支出决算变动情况）（柱状图）</w:t>
      </w:r>
    </w:p>
    <w:p w14:paraId="021A15A0" w14:textId="77777777" w:rsidR="009C4F3C" w:rsidRDefault="00EF39FE">
      <w:pPr>
        <w:tabs>
          <w:tab w:val="left" w:pos="518"/>
        </w:tabs>
        <w:spacing w:line="600" w:lineRule="exact"/>
        <w:ind w:firstLineChars="200" w:firstLine="643"/>
        <w:outlineLvl w:val="2"/>
        <w:rPr>
          <w:rFonts w:ascii="仿宋" w:eastAsia="仿宋" w:hAnsi="仿宋" w:hint="eastAsia"/>
          <w:b/>
          <w:sz w:val="32"/>
          <w:szCs w:val="32"/>
        </w:rPr>
      </w:pPr>
      <w:r>
        <w:rPr>
          <w:rFonts w:ascii="仿宋" w:eastAsia="仿宋" w:hAnsi="仿宋" w:hint="eastAsia"/>
          <w:b/>
          <w:sz w:val="32"/>
          <w:szCs w:val="32"/>
        </w:rPr>
        <w:t>（二）一般公共预算财政拨款支出决算结构情况</w:t>
      </w:r>
    </w:p>
    <w:p w14:paraId="3DBC49F5" w14:textId="77777777" w:rsidR="009C4F3C" w:rsidRDefault="00EF39FE">
      <w:pPr>
        <w:ind w:firstLineChars="200" w:firstLine="600"/>
        <w:rPr>
          <w:rFonts w:ascii="仿宋" w:eastAsia="仿宋" w:hAnsi="仿宋" w:hint="eastAsia"/>
          <w:sz w:val="32"/>
          <w:szCs w:val="32"/>
        </w:rPr>
      </w:pPr>
      <w:r>
        <w:rPr>
          <w:rFonts w:ascii="仿宋_GB2312" w:eastAsia="仿宋_GB2312" w:hAnsi="仿宋"/>
          <w:spacing w:val="-10"/>
          <w:sz w:val="32"/>
          <w:szCs w:val="32"/>
        </w:rPr>
        <w:t>20</w:t>
      </w:r>
      <w:r>
        <w:rPr>
          <w:rFonts w:ascii="仿宋_GB2312" w:eastAsia="仿宋_GB2312" w:hAnsi="仿宋" w:hint="eastAsia"/>
          <w:spacing w:val="-10"/>
          <w:sz w:val="32"/>
          <w:szCs w:val="32"/>
        </w:rPr>
        <w:t>23年一般公共预算财政拨款支出1532.32万元，主要用于以下方面</w:t>
      </w:r>
      <w:r>
        <w:rPr>
          <w:rFonts w:ascii="仿宋_GB2312" w:eastAsia="仿宋_GB2312" w:hAnsi="仿宋"/>
          <w:spacing w:val="-10"/>
          <w:sz w:val="32"/>
          <w:szCs w:val="32"/>
        </w:rPr>
        <w:t>:</w:t>
      </w:r>
      <w:r>
        <w:rPr>
          <w:rFonts w:ascii="仿宋_GB2312" w:eastAsia="仿宋_GB2312" w:hAnsi="仿宋" w:hint="eastAsia"/>
          <w:spacing w:val="-10"/>
          <w:sz w:val="32"/>
          <w:szCs w:val="32"/>
        </w:rPr>
        <w:t>一般公共服务支出1406.33万元，占91.80</w:t>
      </w:r>
      <w:r>
        <w:rPr>
          <w:rFonts w:ascii="仿宋_GB2312" w:eastAsia="仿宋_GB2312" w:hAnsi="仿宋"/>
          <w:spacing w:val="-10"/>
          <w:sz w:val="32"/>
          <w:szCs w:val="32"/>
        </w:rPr>
        <w:t>%</w:t>
      </w:r>
      <w:r>
        <w:rPr>
          <w:rFonts w:ascii="仿宋_GB2312" w:eastAsia="仿宋_GB2312" w:hAnsi="仿宋" w:hint="eastAsia"/>
          <w:spacing w:val="-10"/>
          <w:sz w:val="32"/>
          <w:szCs w:val="32"/>
        </w:rPr>
        <w:t>；卫生健康支出125.99万元，占8.20</w:t>
      </w:r>
      <w:r>
        <w:rPr>
          <w:rFonts w:ascii="仿宋_GB2312" w:eastAsia="仿宋_GB2312" w:hAnsi="仿宋"/>
          <w:spacing w:val="-10"/>
          <w:sz w:val="32"/>
          <w:szCs w:val="32"/>
        </w:rPr>
        <w:t>%</w:t>
      </w:r>
      <w:r>
        <w:rPr>
          <w:rFonts w:ascii="仿宋" w:eastAsia="仿宋" w:hAnsi="仿宋" w:hint="eastAsia"/>
          <w:sz w:val="32"/>
          <w:szCs w:val="32"/>
        </w:rPr>
        <w:t>。</w:t>
      </w:r>
    </w:p>
    <w:p w14:paraId="7B6E03A2" w14:textId="77777777" w:rsidR="009C4F3C" w:rsidRDefault="00EF39FE">
      <w:pPr>
        <w:spacing w:line="600" w:lineRule="exact"/>
        <w:ind w:firstLine="640"/>
        <w:rPr>
          <w:rFonts w:ascii="仿宋" w:eastAsia="仿宋" w:hAnsi="仿宋" w:hint="eastAsia"/>
          <w:b/>
          <w:sz w:val="32"/>
          <w:szCs w:val="32"/>
        </w:rPr>
      </w:pPr>
      <w:r>
        <w:rPr>
          <w:rFonts w:ascii="仿宋" w:eastAsia="仿宋" w:hAnsi="仿宋" w:hint="eastAsia"/>
          <w:b/>
          <w:sz w:val="32"/>
          <w:szCs w:val="32"/>
        </w:rPr>
        <w:t>（注：数据来源于财决01-1表，仅罗列本部门涉及的全部功能分类科目，至类级。）</w:t>
      </w:r>
    </w:p>
    <w:p w14:paraId="468E6792" w14:textId="77777777" w:rsidR="009C4F3C" w:rsidRDefault="009C4F3C">
      <w:pPr>
        <w:spacing w:line="600" w:lineRule="exact"/>
        <w:ind w:firstLine="640"/>
        <w:rPr>
          <w:rFonts w:ascii="仿宋" w:eastAsia="仿宋" w:hAnsi="仿宋" w:hint="eastAsia"/>
          <w:sz w:val="32"/>
          <w:szCs w:val="32"/>
        </w:rPr>
      </w:pPr>
    </w:p>
    <w:p w14:paraId="3CC4C8EB" w14:textId="77777777" w:rsidR="0046508B" w:rsidRDefault="0046508B" w:rsidP="0046508B">
      <w:pPr>
        <w:pStyle w:val="Default"/>
      </w:pPr>
    </w:p>
    <w:p w14:paraId="5340098A" w14:textId="77777777" w:rsidR="0046508B" w:rsidRPr="0046508B" w:rsidRDefault="0046508B" w:rsidP="0046508B">
      <w:pPr>
        <w:pStyle w:val="Default"/>
      </w:pPr>
    </w:p>
    <w:p w14:paraId="6028207B" w14:textId="77777777" w:rsidR="009C4F3C" w:rsidRDefault="00EF39FE">
      <w:pPr>
        <w:pStyle w:val="a3"/>
        <w:spacing w:before="93"/>
      </w:pPr>
      <w:r>
        <w:rPr>
          <w:noProof/>
        </w:rPr>
        <w:drawing>
          <wp:anchor distT="0" distB="0" distL="114300" distR="114300" simplePos="0" relativeHeight="251667456" behindDoc="0" locked="0" layoutInCell="1" allowOverlap="1" wp14:anchorId="5A199CEF" wp14:editId="23A65218">
            <wp:simplePos x="0" y="0"/>
            <wp:positionH relativeFrom="column">
              <wp:posOffset>1283970</wp:posOffset>
            </wp:positionH>
            <wp:positionV relativeFrom="paragraph">
              <wp:posOffset>-515620</wp:posOffset>
            </wp:positionV>
            <wp:extent cx="2605405" cy="2263775"/>
            <wp:effectExtent l="4445" t="4445" r="8255" b="15240"/>
            <wp:wrapNone/>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E7303B8" w14:textId="77777777" w:rsidR="009C4F3C" w:rsidRDefault="009C4F3C">
      <w:pPr>
        <w:pStyle w:val="a3"/>
        <w:spacing w:before="93"/>
      </w:pPr>
    </w:p>
    <w:p w14:paraId="1D629F69" w14:textId="77777777" w:rsidR="009C4F3C" w:rsidRDefault="009C4F3C">
      <w:pPr>
        <w:pStyle w:val="a3"/>
        <w:spacing w:before="93"/>
        <w:rPr>
          <w:rFonts w:ascii="仿宋" w:eastAsia="仿宋" w:hAnsi="仿宋" w:hint="eastAsia"/>
          <w:sz w:val="32"/>
          <w:szCs w:val="32"/>
        </w:rPr>
      </w:pPr>
    </w:p>
    <w:p w14:paraId="6B8A3278" w14:textId="77777777" w:rsidR="009C4F3C" w:rsidRDefault="009C4F3C">
      <w:pPr>
        <w:pStyle w:val="a3"/>
        <w:spacing w:before="93"/>
        <w:rPr>
          <w:rFonts w:ascii="仿宋" w:eastAsia="仿宋" w:hAnsi="仿宋" w:hint="eastAsia"/>
          <w:sz w:val="32"/>
          <w:szCs w:val="32"/>
        </w:rPr>
      </w:pPr>
    </w:p>
    <w:p w14:paraId="2FBF0FB2" w14:textId="77777777" w:rsidR="009C4F3C" w:rsidRDefault="00EF39FE">
      <w:pPr>
        <w:spacing w:line="600" w:lineRule="exact"/>
        <w:ind w:firstLineChars="200" w:firstLine="640"/>
        <w:rPr>
          <w:rFonts w:ascii="仿宋" w:eastAsia="仿宋" w:hAnsi="仿宋" w:hint="eastAsia"/>
          <w:sz w:val="32"/>
          <w:szCs w:val="32"/>
        </w:rPr>
      </w:pPr>
      <w:r>
        <w:rPr>
          <w:rFonts w:ascii="仿宋" w:eastAsia="仿宋" w:hAnsi="仿宋" w:hint="eastAsia"/>
          <w:sz w:val="32"/>
          <w:szCs w:val="32"/>
        </w:rPr>
        <w:t>（图6：一般公共预算财政拨款支出决算结构）（饼状图）</w:t>
      </w:r>
    </w:p>
    <w:p w14:paraId="4FC9DAEF" w14:textId="77777777" w:rsidR="009C4F3C" w:rsidRDefault="009C4F3C">
      <w:pPr>
        <w:spacing w:line="600" w:lineRule="exact"/>
        <w:ind w:firstLineChars="200" w:firstLine="640"/>
        <w:rPr>
          <w:rFonts w:ascii="仿宋" w:eastAsia="仿宋" w:hAnsi="仿宋" w:hint="eastAsia"/>
          <w:sz w:val="32"/>
          <w:szCs w:val="32"/>
        </w:rPr>
      </w:pPr>
    </w:p>
    <w:p w14:paraId="0DE0D04E" w14:textId="77777777" w:rsidR="009C4F3C" w:rsidRDefault="00EF39FE">
      <w:pPr>
        <w:spacing w:line="600" w:lineRule="exact"/>
        <w:ind w:firstLineChars="200" w:firstLine="643"/>
        <w:outlineLvl w:val="2"/>
        <w:rPr>
          <w:rFonts w:ascii="仿宋" w:eastAsia="仿宋" w:hAnsi="仿宋" w:hint="eastAsia"/>
          <w:b/>
          <w:sz w:val="32"/>
          <w:szCs w:val="32"/>
        </w:rPr>
      </w:pPr>
      <w:r>
        <w:rPr>
          <w:rFonts w:ascii="仿宋" w:eastAsia="仿宋" w:hAnsi="仿宋" w:hint="eastAsia"/>
          <w:b/>
          <w:sz w:val="32"/>
          <w:szCs w:val="32"/>
        </w:rPr>
        <w:t>（三）一般公共预算财政拨款支出决算具体情况</w:t>
      </w:r>
    </w:p>
    <w:p w14:paraId="04A3ECC6" w14:textId="77777777" w:rsidR="009C4F3C" w:rsidRDefault="00EF39FE">
      <w:pPr>
        <w:ind w:firstLineChars="200" w:firstLine="600"/>
        <w:rPr>
          <w:rFonts w:ascii="仿宋_GB2312" w:eastAsia="仿宋_GB2312" w:hAnsi="仿宋" w:hint="eastAsia"/>
          <w:spacing w:val="-10"/>
          <w:sz w:val="32"/>
          <w:szCs w:val="32"/>
        </w:rPr>
      </w:pPr>
      <w:r>
        <w:rPr>
          <w:rFonts w:ascii="仿宋_GB2312" w:eastAsia="仿宋_GB2312" w:hAnsi="仿宋" w:hint="eastAsia"/>
          <w:spacing w:val="-10"/>
          <w:sz w:val="32"/>
          <w:szCs w:val="32"/>
        </w:rPr>
        <w:t>2023年一般公共预算支出决算数为1532.32，完成预算100%。其中：</w:t>
      </w:r>
    </w:p>
    <w:p w14:paraId="1FBF1065" w14:textId="77777777" w:rsidR="009C4F3C" w:rsidRDefault="00EF39FE">
      <w:pPr>
        <w:ind w:firstLineChars="200" w:firstLine="600"/>
        <w:rPr>
          <w:rFonts w:ascii="仿宋_GB2312" w:eastAsia="仿宋_GB2312" w:hAnsi="仿宋" w:hint="eastAsia"/>
          <w:spacing w:val="-10"/>
          <w:sz w:val="32"/>
          <w:szCs w:val="32"/>
        </w:rPr>
      </w:pPr>
      <w:r>
        <w:rPr>
          <w:rFonts w:ascii="仿宋_GB2312" w:eastAsia="仿宋_GB2312" w:hAnsi="仿宋" w:hint="eastAsia"/>
          <w:spacing w:val="-10"/>
          <w:sz w:val="32"/>
          <w:szCs w:val="32"/>
        </w:rPr>
        <w:t>一般公共服务（类）政府办公厅（室）及相关机构事务（款）  一般行政管理事务（项）:支出决算为1406.33万元，完成预算100%。</w:t>
      </w:r>
      <w:r>
        <w:rPr>
          <w:rFonts w:ascii="仿宋_GB2312" w:eastAsia="仿宋_GB2312" w:hAnsi="仿宋" w:hint="eastAsia"/>
          <w:spacing w:val="-10"/>
          <w:sz w:val="32"/>
          <w:szCs w:val="32"/>
        </w:rPr>
        <w:lastRenderedPageBreak/>
        <w:t>决算数与预算数持平。</w:t>
      </w:r>
    </w:p>
    <w:p w14:paraId="7FE4A976" w14:textId="77777777" w:rsidR="009C4F3C" w:rsidRDefault="00EF39FE">
      <w:pPr>
        <w:ind w:firstLineChars="200" w:firstLine="600"/>
        <w:rPr>
          <w:rFonts w:ascii="仿宋_GB2312" w:eastAsia="仿宋_GB2312" w:hAnsi="仿宋" w:hint="eastAsia"/>
          <w:spacing w:val="-10"/>
          <w:sz w:val="32"/>
          <w:szCs w:val="32"/>
        </w:rPr>
      </w:pPr>
      <w:r>
        <w:rPr>
          <w:rFonts w:ascii="仿宋_GB2312" w:eastAsia="仿宋_GB2312" w:hAnsi="仿宋" w:hint="eastAsia"/>
          <w:spacing w:val="-10"/>
          <w:sz w:val="32"/>
          <w:szCs w:val="32"/>
        </w:rPr>
        <w:t>卫生健康支出（类）公共卫生（款）重大公共卫生服务（项）:支出决算为12.38万元，完成预算100%，决算数与预算数持平。</w:t>
      </w:r>
    </w:p>
    <w:p w14:paraId="02460B9B" w14:textId="77777777" w:rsidR="009C4F3C" w:rsidRDefault="00EF39FE">
      <w:pPr>
        <w:ind w:firstLineChars="200" w:firstLine="600"/>
      </w:pPr>
      <w:r>
        <w:rPr>
          <w:rFonts w:ascii="仿宋_GB2312" w:eastAsia="仿宋_GB2312" w:hAnsi="仿宋" w:hint="eastAsia"/>
          <w:spacing w:val="-10"/>
          <w:sz w:val="32"/>
          <w:szCs w:val="32"/>
        </w:rPr>
        <w:t>卫生健康支出（类）其他卫生健康支出（款）其他卫生健康支出（项）:支出决算为113.61万元，完成预算100%，决算数与预算数持平。</w:t>
      </w:r>
    </w:p>
    <w:p w14:paraId="5437F6F9" w14:textId="77777777" w:rsidR="009C4F3C" w:rsidRDefault="00EF39FE">
      <w:pPr>
        <w:tabs>
          <w:tab w:val="right" w:pos="8306"/>
        </w:tabs>
        <w:spacing w:line="600" w:lineRule="exact"/>
        <w:ind w:firstLine="640"/>
        <w:outlineLvl w:val="1"/>
        <w:rPr>
          <w:rFonts w:ascii="仿宋" w:eastAsia="仿宋" w:hAnsi="仿宋" w:hint="eastAsia"/>
          <w:b/>
          <w:sz w:val="32"/>
          <w:szCs w:val="32"/>
        </w:rPr>
      </w:pPr>
      <w:bookmarkStart w:id="36" w:name="_Toc15377214"/>
      <w:bookmarkStart w:id="37" w:name="_Toc15396608"/>
      <w:bookmarkEnd w:id="35"/>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20"/>
          <w:rFonts w:ascii="黑体" w:eastAsia="黑体" w:hAnsi="黑体" w:hint="eastAsia"/>
          <w:b w:val="0"/>
        </w:rPr>
        <w:t>般公共预算财政拨款基本支出决算情况说明</w:t>
      </w:r>
      <w:bookmarkEnd w:id="36"/>
      <w:bookmarkEnd w:id="37"/>
      <w:r>
        <w:rPr>
          <w:rStyle w:val="20"/>
          <w:rFonts w:ascii="黑体" w:eastAsia="黑体" w:hAnsi="黑体"/>
          <w:b w:val="0"/>
        </w:rPr>
        <w:tab/>
      </w:r>
    </w:p>
    <w:p w14:paraId="020A9B1C" w14:textId="77777777" w:rsidR="009C4F3C" w:rsidRDefault="00EF39FE">
      <w:pPr>
        <w:pStyle w:val="Default"/>
        <w:snapToGrid w:val="0"/>
        <w:spacing w:line="520" w:lineRule="exact"/>
        <w:ind w:rightChars="-78" w:right="-164" w:firstLineChars="200" w:firstLine="640"/>
        <w:rPr>
          <w:rFonts w:ascii="CESI仿宋-GB2312" w:eastAsia="CESI仿宋-GB2312" w:hAnsi="CESI仿宋-GB2312" w:cs="CESI仿宋-GB2312" w:hint="eastAsia"/>
          <w:sz w:val="32"/>
          <w:szCs w:val="32"/>
        </w:rPr>
      </w:pPr>
      <w:r>
        <w:rPr>
          <w:rFonts w:hAnsi="仿宋" w:hint="eastAsia"/>
          <w:color w:val="auto"/>
          <w:sz w:val="32"/>
          <w:szCs w:val="32"/>
        </w:rPr>
        <w:t>2023年度一般公共预算财政拨款基本支出311.00万元，其中：</w:t>
      </w:r>
    </w:p>
    <w:p w14:paraId="6BED33D2" w14:textId="77777777" w:rsidR="009C4F3C" w:rsidRDefault="00EF39FE">
      <w:pPr>
        <w:spacing w:line="600" w:lineRule="exact"/>
        <w:ind w:firstLine="645"/>
        <w:rPr>
          <w:rFonts w:ascii="仿宋" w:eastAsia="仿宋" w:hAnsi="仿宋" w:hint="eastAsia"/>
          <w:sz w:val="32"/>
          <w:szCs w:val="32"/>
        </w:rPr>
      </w:pPr>
      <w:r>
        <w:rPr>
          <w:rFonts w:ascii="仿宋" w:eastAsia="仿宋" w:hAnsi="仿宋" w:hint="eastAsia"/>
          <w:sz w:val="32"/>
          <w:szCs w:val="32"/>
        </w:rPr>
        <w:t>物业管理费支出合计金额44万元，与2022年持平。主要用于2万余平米办公及业务用房的物业管理、保洁等费用。</w:t>
      </w:r>
    </w:p>
    <w:p w14:paraId="05E9F768" w14:textId="77777777" w:rsidR="009C4F3C" w:rsidRDefault="00EF39FE">
      <w:pPr>
        <w:spacing w:line="600" w:lineRule="exact"/>
        <w:ind w:firstLine="645"/>
        <w:rPr>
          <w:rFonts w:ascii="仿宋" w:eastAsia="仿宋" w:hAnsi="仿宋" w:hint="eastAsia"/>
          <w:sz w:val="32"/>
          <w:szCs w:val="32"/>
        </w:rPr>
      </w:pPr>
      <w:r>
        <w:rPr>
          <w:rFonts w:ascii="仿宋" w:eastAsia="仿宋" w:hAnsi="仿宋" w:hint="eastAsia"/>
          <w:sz w:val="32"/>
          <w:szCs w:val="32"/>
        </w:rPr>
        <w:t>差旅费支出合计金额93.40万元，较2022年减少19.60万元。主要用于在职人员因公出差发生的交通费和住宿费。</w:t>
      </w:r>
    </w:p>
    <w:p w14:paraId="7BC4FB6A" w14:textId="77777777" w:rsidR="009C4F3C" w:rsidRDefault="00EF39FE">
      <w:pPr>
        <w:spacing w:line="600" w:lineRule="exact"/>
        <w:ind w:firstLineChars="200" w:firstLine="640"/>
        <w:rPr>
          <w:rFonts w:ascii="仿宋" w:eastAsia="仿宋" w:hAnsi="仿宋" w:hint="eastAsia"/>
          <w:sz w:val="32"/>
          <w:szCs w:val="32"/>
        </w:rPr>
      </w:pPr>
      <w:r>
        <w:rPr>
          <w:rFonts w:ascii="仿宋" w:eastAsia="仿宋" w:hAnsi="仿宋" w:hint="eastAsia"/>
          <w:sz w:val="32"/>
          <w:szCs w:val="32"/>
        </w:rPr>
        <w:t>维修(护)费支出48万元，与2022年持平。主要用于现有的办公设施设备的维修维护费用。</w:t>
      </w:r>
    </w:p>
    <w:p w14:paraId="4EEDF8E9" w14:textId="77777777" w:rsidR="009C4F3C" w:rsidRDefault="00EF39FE">
      <w:pPr>
        <w:spacing w:line="600" w:lineRule="exact"/>
        <w:ind w:firstLine="645"/>
        <w:rPr>
          <w:rFonts w:ascii="仿宋" w:eastAsia="仿宋" w:hAnsi="仿宋" w:hint="eastAsia"/>
          <w:sz w:val="32"/>
          <w:szCs w:val="32"/>
        </w:rPr>
      </w:pPr>
      <w:r>
        <w:rPr>
          <w:rFonts w:ascii="仿宋" w:eastAsia="仿宋" w:hAnsi="仿宋" w:hint="eastAsia"/>
          <w:sz w:val="32"/>
          <w:szCs w:val="32"/>
        </w:rPr>
        <w:t>会议费支出7万元，与2022年持平。该项支出主要用于辖区税务、交通、民兵等会议所发生的场地租用、伙食、住宿费等费用。</w:t>
      </w:r>
    </w:p>
    <w:p w14:paraId="1A72CF99" w14:textId="77777777" w:rsidR="009C4F3C" w:rsidRDefault="00EF39FE">
      <w:pPr>
        <w:spacing w:line="600" w:lineRule="exact"/>
        <w:ind w:firstLine="645"/>
        <w:rPr>
          <w:rFonts w:ascii="仿宋" w:eastAsia="仿宋" w:hAnsi="仿宋" w:hint="eastAsia"/>
          <w:sz w:val="32"/>
          <w:szCs w:val="32"/>
        </w:rPr>
      </w:pPr>
      <w:r>
        <w:rPr>
          <w:rFonts w:ascii="仿宋" w:eastAsia="仿宋" w:hAnsi="仿宋" w:hint="eastAsia"/>
          <w:sz w:val="32"/>
          <w:szCs w:val="32"/>
        </w:rPr>
        <w:t>公务接待费支出1.60万元，较2022年增加1.06万元。该项支出主要用于接待各职能部门、协作企业、社会团体用餐、交通等费用。</w:t>
      </w:r>
    </w:p>
    <w:p w14:paraId="4192E8F7" w14:textId="77777777" w:rsidR="009C4F3C" w:rsidRDefault="00EF39FE">
      <w:pPr>
        <w:spacing w:line="600" w:lineRule="exact"/>
        <w:ind w:firstLine="645"/>
        <w:rPr>
          <w:rFonts w:ascii="仿宋" w:eastAsia="仿宋" w:hAnsi="仿宋" w:hint="eastAsia"/>
          <w:sz w:val="32"/>
          <w:szCs w:val="32"/>
        </w:rPr>
      </w:pPr>
      <w:r>
        <w:rPr>
          <w:rFonts w:ascii="仿宋" w:eastAsia="仿宋" w:hAnsi="仿宋" w:hint="eastAsia"/>
          <w:sz w:val="32"/>
          <w:szCs w:val="32"/>
        </w:rPr>
        <w:t>公务用车运行维护费支出97万元，较2022年增加0.48万</w:t>
      </w:r>
      <w:r>
        <w:rPr>
          <w:rFonts w:ascii="仿宋" w:eastAsia="仿宋" w:hAnsi="仿宋" w:hint="eastAsia"/>
          <w:sz w:val="32"/>
          <w:szCs w:val="32"/>
        </w:rPr>
        <w:lastRenderedPageBreak/>
        <w:t>元。该支出主要用于22个职能局（委、办）部门公务用车的机要文件传递、参加省市会议、对接扶贫工作、武装押运等工作所需燃料费、维修费、保险费、过路过桥费等支出，以及车辆租赁等相关费用。</w:t>
      </w:r>
    </w:p>
    <w:p w14:paraId="3C00110A" w14:textId="77777777" w:rsidR="009C4F3C" w:rsidRDefault="00EF39FE">
      <w:pPr>
        <w:spacing w:line="600" w:lineRule="exact"/>
        <w:ind w:firstLine="645"/>
        <w:rPr>
          <w:rFonts w:ascii="仿宋" w:eastAsia="仿宋" w:hAnsi="仿宋" w:hint="eastAsia"/>
          <w:sz w:val="32"/>
          <w:szCs w:val="32"/>
        </w:rPr>
      </w:pPr>
      <w:r>
        <w:rPr>
          <w:rFonts w:ascii="仿宋" w:eastAsia="仿宋" w:hAnsi="仿宋" w:hint="eastAsia"/>
          <w:sz w:val="32"/>
          <w:szCs w:val="32"/>
        </w:rPr>
        <w:t>培训费支出20.00万元，2023年新增预算。主要用于支付给培训机构的费用。</w:t>
      </w:r>
    </w:p>
    <w:p w14:paraId="699A8725" w14:textId="77777777" w:rsidR="009C4F3C" w:rsidRDefault="00EF39FE">
      <w:pPr>
        <w:spacing w:line="600" w:lineRule="exact"/>
        <w:ind w:firstLine="645"/>
        <w:rPr>
          <w:rFonts w:ascii="仿宋" w:eastAsia="仿宋" w:hAnsi="仿宋" w:hint="eastAsia"/>
          <w:b/>
          <w:sz w:val="32"/>
          <w:szCs w:val="32"/>
        </w:rPr>
      </w:pPr>
      <w:r>
        <w:rPr>
          <w:rFonts w:ascii="仿宋" w:eastAsia="仿宋" w:hAnsi="仿宋" w:hint="eastAsia"/>
          <w:b/>
          <w:sz w:val="32"/>
          <w:szCs w:val="32"/>
        </w:rPr>
        <w:t>（注：数据来源于财决</w:t>
      </w:r>
      <w:r>
        <w:rPr>
          <w:rFonts w:ascii="仿宋" w:eastAsia="仿宋" w:hAnsi="仿宋"/>
          <w:b/>
          <w:sz w:val="32"/>
          <w:szCs w:val="32"/>
        </w:rPr>
        <w:t>0</w:t>
      </w:r>
      <w:r>
        <w:rPr>
          <w:rFonts w:ascii="仿宋" w:eastAsia="仿宋" w:hAnsi="仿宋" w:hint="eastAsia"/>
          <w:b/>
          <w:sz w:val="32"/>
          <w:szCs w:val="32"/>
        </w:rPr>
        <w:t>7表和财决08-1表，仅罗列本部门实际支出涉及的经济分类科目。）</w:t>
      </w:r>
    </w:p>
    <w:p w14:paraId="683F8076" w14:textId="77777777" w:rsidR="009C4F3C" w:rsidRDefault="00EF39FE">
      <w:pPr>
        <w:spacing w:line="600" w:lineRule="exact"/>
        <w:ind w:firstLine="640"/>
        <w:outlineLvl w:val="1"/>
        <w:rPr>
          <w:rStyle w:val="20"/>
          <w:rFonts w:ascii="黑体" w:eastAsia="黑体" w:hAnsi="黑体" w:hint="eastAsia"/>
          <w:b w:val="0"/>
        </w:rPr>
      </w:pPr>
      <w:bookmarkStart w:id="38" w:name="_Toc15377215"/>
      <w:bookmarkStart w:id="39" w:name="_Toc15396609"/>
      <w:r>
        <w:rPr>
          <w:rFonts w:ascii="黑体" w:eastAsia="黑体" w:hint="eastAsia"/>
          <w:sz w:val="32"/>
          <w:szCs w:val="32"/>
        </w:rPr>
        <w:t>七、</w:t>
      </w:r>
      <w:r>
        <w:rPr>
          <w:rStyle w:val="20"/>
          <w:rFonts w:ascii="黑体" w:eastAsia="黑体" w:hAnsi="黑体" w:hint="eastAsia"/>
          <w:b w:val="0"/>
        </w:rPr>
        <w:t>财政拨款</w:t>
      </w:r>
      <w:r>
        <w:rPr>
          <w:rStyle w:val="20"/>
          <w:rFonts w:ascii="黑体" w:eastAsia="黑体" w:hAnsi="黑体" w:hint="eastAsia"/>
        </w:rPr>
        <w:t>“</w:t>
      </w:r>
      <w:r>
        <w:rPr>
          <w:rStyle w:val="20"/>
          <w:rFonts w:ascii="黑体" w:eastAsia="黑体" w:hAnsi="黑体" w:hint="eastAsia"/>
          <w:b w:val="0"/>
        </w:rPr>
        <w:t>三公”经费支出决算情况说明</w:t>
      </w:r>
      <w:bookmarkEnd w:id="38"/>
      <w:bookmarkEnd w:id="39"/>
    </w:p>
    <w:p w14:paraId="67302FE4" w14:textId="77777777" w:rsidR="009C4F3C" w:rsidRDefault="00EF39FE">
      <w:pPr>
        <w:spacing w:line="600" w:lineRule="exact"/>
        <w:ind w:firstLine="640"/>
        <w:outlineLvl w:val="2"/>
        <w:rPr>
          <w:rFonts w:ascii="仿宋" w:eastAsia="仿宋" w:hAnsi="仿宋" w:hint="eastAsia"/>
          <w:b/>
          <w:sz w:val="32"/>
          <w:szCs w:val="32"/>
        </w:rPr>
      </w:pPr>
      <w:bookmarkStart w:id="40" w:name="_Toc15377216"/>
      <w:r>
        <w:rPr>
          <w:rFonts w:ascii="仿宋" w:eastAsia="仿宋" w:hAnsi="仿宋" w:hint="eastAsia"/>
          <w:b/>
          <w:sz w:val="32"/>
          <w:szCs w:val="32"/>
        </w:rPr>
        <w:t>（一）“三公”经费财政拨款支出决算总体情况说明</w:t>
      </w:r>
    </w:p>
    <w:p w14:paraId="3EAA35CA" w14:textId="77777777" w:rsidR="009C4F3C" w:rsidRDefault="00EF39FE">
      <w:pPr>
        <w:spacing w:line="600" w:lineRule="exact"/>
        <w:ind w:firstLine="640"/>
      </w:pPr>
      <w:r>
        <w:rPr>
          <w:rFonts w:ascii="仿宋_GB2312" w:eastAsia="仿宋_GB2312" w:hAnsi="仿宋"/>
          <w:spacing w:val="-10"/>
          <w:sz w:val="32"/>
          <w:szCs w:val="32"/>
        </w:rPr>
        <w:t>20</w:t>
      </w:r>
      <w:r>
        <w:rPr>
          <w:rFonts w:ascii="仿宋_GB2312" w:eastAsia="仿宋_GB2312" w:hAnsi="仿宋" w:hint="eastAsia"/>
          <w:spacing w:val="-10"/>
          <w:sz w:val="32"/>
          <w:szCs w:val="32"/>
        </w:rPr>
        <w:t>23年“三公”经费财政拨款支出决算为98.6万元，完成预算100</w:t>
      </w:r>
      <w:r>
        <w:rPr>
          <w:rFonts w:ascii="仿宋_GB2312" w:eastAsia="仿宋_GB2312" w:hAnsi="仿宋"/>
          <w:spacing w:val="-10"/>
          <w:sz w:val="32"/>
          <w:szCs w:val="32"/>
        </w:rPr>
        <w:t>%</w:t>
      </w:r>
      <w:r>
        <w:rPr>
          <w:rFonts w:ascii="仿宋_GB2312" w:eastAsia="仿宋_GB2312" w:hAnsi="仿宋" w:hint="eastAsia"/>
          <w:spacing w:val="-10"/>
          <w:sz w:val="32"/>
          <w:szCs w:val="32"/>
        </w:rPr>
        <w:t>，较上年增加1.12万元，下降1.10%。决算数与预算数持平</w:t>
      </w:r>
      <w:r>
        <w:rPr>
          <w:rFonts w:ascii="仿宋" w:eastAsia="仿宋" w:hAnsi="仿宋" w:hint="eastAsia"/>
          <w:sz w:val="32"/>
          <w:szCs w:val="32"/>
        </w:rPr>
        <w:t>。</w:t>
      </w:r>
    </w:p>
    <w:p w14:paraId="22DE58CE" w14:textId="77777777" w:rsidR="009C4F3C" w:rsidRDefault="00EF39FE">
      <w:pPr>
        <w:spacing w:line="600" w:lineRule="exact"/>
        <w:ind w:firstLine="640"/>
      </w:pPr>
      <w:r>
        <w:rPr>
          <w:rFonts w:ascii="仿宋" w:eastAsia="仿宋" w:hAnsi="仿宋" w:hint="eastAsia"/>
          <w:b/>
          <w:sz w:val="32"/>
          <w:szCs w:val="32"/>
        </w:rPr>
        <w:t>（注：上述“预算”口径为全年预算数，包括一般公共预算和政府性基金预算财政拨款支出决算情况。）</w:t>
      </w:r>
    </w:p>
    <w:p w14:paraId="4701A92F" w14:textId="77777777" w:rsidR="009C4F3C" w:rsidRDefault="00EF39FE">
      <w:pPr>
        <w:spacing w:line="600" w:lineRule="exact"/>
        <w:ind w:firstLine="640"/>
        <w:outlineLvl w:val="2"/>
        <w:rPr>
          <w:rFonts w:ascii="仿宋" w:eastAsia="仿宋" w:hAnsi="仿宋" w:hint="eastAsia"/>
          <w:b/>
          <w:sz w:val="32"/>
          <w:szCs w:val="32"/>
        </w:rPr>
      </w:pPr>
      <w:r>
        <w:rPr>
          <w:rFonts w:ascii="仿宋" w:eastAsia="仿宋" w:hAnsi="仿宋" w:hint="eastAsia"/>
          <w:b/>
          <w:sz w:val="32"/>
          <w:szCs w:val="32"/>
        </w:rPr>
        <w:t>（二）“三公”经费财政拨款支出决算具体情况说明</w:t>
      </w:r>
    </w:p>
    <w:p w14:paraId="25C43B74" w14:textId="77777777" w:rsidR="009C4F3C" w:rsidRDefault="00EF39FE">
      <w:pPr>
        <w:spacing w:line="600" w:lineRule="exact"/>
        <w:ind w:firstLine="640"/>
        <w:rPr>
          <w:rFonts w:ascii="仿宋" w:eastAsia="仿宋" w:hAnsi="仿宋" w:hint="eastAsia"/>
          <w:sz w:val="32"/>
          <w:szCs w:val="32"/>
        </w:rPr>
      </w:pPr>
      <w:r>
        <w:rPr>
          <w:rFonts w:ascii="仿宋_GB2312" w:eastAsia="仿宋_GB2312" w:hAnsi="仿宋"/>
          <w:spacing w:val="-10"/>
          <w:sz w:val="32"/>
          <w:szCs w:val="32"/>
        </w:rPr>
        <w:t>20</w:t>
      </w:r>
      <w:r>
        <w:rPr>
          <w:rFonts w:ascii="仿宋_GB2312" w:eastAsia="仿宋_GB2312" w:hAnsi="仿宋" w:hint="eastAsia"/>
          <w:spacing w:val="-10"/>
          <w:sz w:val="32"/>
          <w:szCs w:val="32"/>
        </w:rPr>
        <w:t>23年“三公”经费财政拨款支出决算中，因公出国（境）费支出决算0万元，占0</w:t>
      </w:r>
      <w:r>
        <w:rPr>
          <w:rFonts w:ascii="仿宋_GB2312" w:eastAsia="仿宋_GB2312" w:hAnsi="仿宋"/>
          <w:spacing w:val="-10"/>
          <w:sz w:val="32"/>
          <w:szCs w:val="32"/>
        </w:rPr>
        <w:t>%</w:t>
      </w:r>
      <w:r>
        <w:rPr>
          <w:rFonts w:ascii="仿宋_GB2312" w:eastAsia="仿宋_GB2312" w:hAnsi="仿宋" w:hint="eastAsia"/>
          <w:spacing w:val="-10"/>
          <w:sz w:val="32"/>
          <w:szCs w:val="32"/>
        </w:rPr>
        <w:t>；公务用车购置及运行维护费支出决算97.00万元，占98.40</w:t>
      </w:r>
      <w:r>
        <w:rPr>
          <w:rFonts w:ascii="仿宋_GB2312" w:eastAsia="仿宋_GB2312" w:hAnsi="仿宋"/>
          <w:spacing w:val="-10"/>
          <w:sz w:val="32"/>
          <w:szCs w:val="32"/>
        </w:rPr>
        <w:t>%</w:t>
      </w:r>
      <w:r>
        <w:rPr>
          <w:rFonts w:ascii="仿宋_GB2312" w:eastAsia="仿宋_GB2312" w:hAnsi="仿宋" w:hint="eastAsia"/>
          <w:spacing w:val="-10"/>
          <w:sz w:val="32"/>
          <w:szCs w:val="32"/>
        </w:rPr>
        <w:t>；公务接待费支出决算1.60万元，占1.64</w:t>
      </w:r>
      <w:r>
        <w:rPr>
          <w:rFonts w:ascii="仿宋_GB2312" w:eastAsia="仿宋_GB2312" w:hAnsi="仿宋"/>
          <w:spacing w:val="-10"/>
          <w:sz w:val="32"/>
          <w:szCs w:val="32"/>
        </w:rPr>
        <w:t>%</w:t>
      </w:r>
      <w:r>
        <w:rPr>
          <w:rFonts w:ascii="仿宋_GB2312" w:eastAsia="仿宋_GB2312" w:hAnsi="仿宋" w:hint="eastAsia"/>
          <w:spacing w:val="-10"/>
          <w:sz w:val="32"/>
          <w:szCs w:val="32"/>
        </w:rPr>
        <w:t>。具体情况如下</w:t>
      </w:r>
      <w:r>
        <w:rPr>
          <w:rFonts w:ascii="仿宋" w:eastAsia="仿宋" w:hAnsi="仿宋" w:hint="eastAsia"/>
          <w:sz w:val="32"/>
          <w:szCs w:val="32"/>
        </w:rPr>
        <w:t>：</w:t>
      </w:r>
    </w:p>
    <w:p w14:paraId="7429A0A3" w14:textId="77777777" w:rsidR="009C4F3C" w:rsidRDefault="009C4F3C">
      <w:pPr>
        <w:pStyle w:val="a3"/>
        <w:spacing w:before="93"/>
        <w:rPr>
          <w:rFonts w:ascii="仿宋" w:eastAsia="仿宋" w:hAnsi="仿宋" w:hint="eastAsia"/>
          <w:sz w:val="32"/>
          <w:szCs w:val="32"/>
        </w:rPr>
      </w:pPr>
    </w:p>
    <w:p w14:paraId="7FC5F74B" w14:textId="77777777" w:rsidR="00FF3087" w:rsidRDefault="00FF3087">
      <w:pPr>
        <w:pStyle w:val="a3"/>
        <w:spacing w:before="93"/>
        <w:rPr>
          <w:rFonts w:ascii="仿宋" w:eastAsia="仿宋" w:hAnsi="仿宋" w:hint="eastAsia"/>
          <w:sz w:val="32"/>
          <w:szCs w:val="32"/>
        </w:rPr>
      </w:pPr>
    </w:p>
    <w:p w14:paraId="4C4EA1C5" w14:textId="77777777" w:rsidR="00FF3087" w:rsidRDefault="00FF3087">
      <w:pPr>
        <w:pStyle w:val="a3"/>
        <w:spacing w:before="93"/>
        <w:rPr>
          <w:rFonts w:ascii="仿宋" w:eastAsia="仿宋" w:hAnsi="仿宋" w:hint="eastAsia"/>
          <w:sz w:val="32"/>
          <w:szCs w:val="32"/>
        </w:rPr>
      </w:pPr>
    </w:p>
    <w:p w14:paraId="5C285170" w14:textId="77777777" w:rsidR="00FF3087" w:rsidRDefault="00FF3087">
      <w:pPr>
        <w:pStyle w:val="a3"/>
        <w:spacing w:before="93"/>
        <w:rPr>
          <w:rFonts w:ascii="仿宋" w:eastAsia="仿宋" w:hAnsi="仿宋" w:hint="eastAsia"/>
          <w:sz w:val="32"/>
          <w:szCs w:val="32"/>
        </w:rPr>
      </w:pPr>
    </w:p>
    <w:p w14:paraId="7C0482B3" w14:textId="77777777" w:rsidR="009C4F3C" w:rsidRDefault="00EF39FE">
      <w:pPr>
        <w:pStyle w:val="a3"/>
        <w:spacing w:before="93"/>
        <w:rPr>
          <w:rFonts w:ascii="仿宋" w:eastAsia="仿宋" w:hAnsi="仿宋" w:hint="eastAsia"/>
          <w:sz w:val="32"/>
          <w:szCs w:val="32"/>
        </w:rPr>
      </w:pPr>
      <w:r>
        <w:rPr>
          <w:noProof/>
        </w:rPr>
        <w:drawing>
          <wp:anchor distT="0" distB="0" distL="114300" distR="114300" simplePos="0" relativeHeight="251669504" behindDoc="0" locked="0" layoutInCell="1" allowOverlap="1" wp14:anchorId="3EA83152" wp14:editId="5578DF05">
            <wp:simplePos x="0" y="0"/>
            <wp:positionH relativeFrom="column">
              <wp:posOffset>404495</wp:posOffset>
            </wp:positionH>
            <wp:positionV relativeFrom="paragraph">
              <wp:posOffset>-744220</wp:posOffset>
            </wp:positionV>
            <wp:extent cx="4572000" cy="2993390"/>
            <wp:effectExtent l="4445" t="4445" r="10160" b="13970"/>
            <wp:wrapNone/>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4170609" w14:textId="77777777" w:rsidR="009C4F3C" w:rsidRDefault="009C4F3C">
      <w:pPr>
        <w:pStyle w:val="a3"/>
        <w:spacing w:before="93"/>
        <w:rPr>
          <w:rFonts w:ascii="仿宋" w:eastAsia="仿宋" w:hAnsi="仿宋" w:hint="eastAsia"/>
          <w:sz w:val="32"/>
          <w:szCs w:val="32"/>
        </w:rPr>
      </w:pPr>
    </w:p>
    <w:p w14:paraId="124F6E99" w14:textId="77777777" w:rsidR="009C4F3C" w:rsidRDefault="009C4F3C">
      <w:pPr>
        <w:pStyle w:val="a3"/>
        <w:spacing w:before="93"/>
        <w:rPr>
          <w:rFonts w:ascii="仿宋" w:eastAsia="仿宋" w:hAnsi="仿宋" w:hint="eastAsia"/>
          <w:sz w:val="32"/>
          <w:szCs w:val="32"/>
        </w:rPr>
      </w:pPr>
    </w:p>
    <w:p w14:paraId="0C52A992" w14:textId="77777777" w:rsidR="009C4F3C" w:rsidRDefault="009C4F3C">
      <w:pPr>
        <w:pStyle w:val="a3"/>
        <w:spacing w:before="93"/>
        <w:rPr>
          <w:rFonts w:ascii="仿宋" w:eastAsia="仿宋" w:hAnsi="仿宋" w:hint="eastAsia"/>
          <w:sz w:val="32"/>
          <w:szCs w:val="32"/>
        </w:rPr>
      </w:pPr>
    </w:p>
    <w:p w14:paraId="5A3FEC2D" w14:textId="77777777" w:rsidR="009C4F3C" w:rsidRDefault="009C4F3C">
      <w:pPr>
        <w:pStyle w:val="a3"/>
        <w:spacing w:before="93"/>
        <w:rPr>
          <w:rFonts w:ascii="仿宋" w:eastAsia="仿宋" w:hAnsi="仿宋" w:hint="eastAsia"/>
          <w:sz w:val="32"/>
          <w:szCs w:val="32"/>
        </w:rPr>
      </w:pPr>
    </w:p>
    <w:p w14:paraId="615465A5" w14:textId="77777777" w:rsidR="009C4F3C" w:rsidRDefault="00EF39FE">
      <w:pPr>
        <w:spacing w:line="600" w:lineRule="exact"/>
        <w:ind w:firstLine="640"/>
      </w:pPr>
      <w:r>
        <w:rPr>
          <w:rFonts w:ascii="仿宋" w:eastAsia="仿宋" w:hAnsi="仿宋" w:hint="eastAsia"/>
          <w:sz w:val="32"/>
          <w:szCs w:val="32"/>
        </w:rPr>
        <w:t>（图7：“三公”经费财政拨款支出结构）（饼状图）</w:t>
      </w:r>
    </w:p>
    <w:p w14:paraId="7DCC48F9" w14:textId="77777777" w:rsidR="009C4F3C" w:rsidRDefault="00EF39FE">
      <w:pPr>
        <w:numPr>
          <w:ilvl w:val="0"/>
          <w:numId w:val="3"/>
        </w:numPr>
        <w:spacing w:line="600" w:lineRule="exact"/>
        <w:ind w:firstLine="640"/>
        <w:rPr>
          <w:rFonts w:ascii="仿宋_GB2312" w:eastAsia="仿宋_GB2312"/>
          <w:b/>
          <w:sz w:val="32"/>
          <w:szCs w:val="32"/>
        </w:rPr>
      </w:pPr>
      <w:r>
        <w:rPr>
          <w:rFonts w:ascii="仿宋_GB2312" w:eastAsia="仿宋_GB2312" w:hint="eastAsia"/>
          <w:b/>
          <w:sz w:val="32"/>
          <w:szCs w:val="32"/>
        </w:rPr>
        <w:t>公务用车购置及运行维护费支出</w:t>
      </w:r>
      <w:r>
        <w:rPr>
          <w:rFonts w:ascii="仿宋_GB2312" w:eastAsia="仿宋_GB2312" w:hint="eastAsia"/>
          <w:sz w:val="32"/>
          <w:szCs w:val="32"/>
        </w:rPr>
        <w:t>97.00万元,</w:t>
      </w:r>
      <w:r>
        <w:rPr>
          <w:rStyle w:val="ae"/>
          <w:rFonts w:ascii="仿宋" w:eastAsia="仿宋" w:hAnsi="仿宋" w:hint="eastAsia"/>
          <w:b w:val="0"/>
          <w:bCs/>
          <w:sz w:val="32"/>
          <w:szCs w:val="32"/>
        </w:rPr>
        <w:t>完成预算100</w:t>
      </w:r>
      <w:r>
        <w:rPr>
          <w:rStyle w:val="ae"/>
          <w:rFonts w:ascii="仿宋" w:eastAsia="仿宋" w:hAnsi="仿宋"/>
          <w:b w:val="0"/>
          <w:bCs/>
          <w:sz w:val="32"/>
          <w:szCs w:val="32"/>
        </w:rPr>
        <w:t>%</w:t>
      </w:r>
      <w:r>
        <w:rPr>
          <w:rStyle w:val="ae"/>
          <w:rFonts w:ascii="仿宋" w:eastAsia="仿宋" w:hAnsi="仿宋" w:hint="eastAsia"/>
          <w:b w:val="0"/>
          <w:bCs/>
          <w:sz w:val="32"/>
          <w:szCs w:val="32"/>
        </w:rPr>
        <w:t>。</w:t>
      </w:r>
      <w:r>
        <w:rPr>
          <w:rFonts w:ascii="仿宋_GB2312" w:eastAsia="仿宋_GB2312" w:hint="eastAsia"/>
          <w:sz w:val="32"/>
          <w:szCs w:val="32"/>
        </w:rPr>
        <w:t>公务用车购置及运行维护费支出决算比</w:t>
      </w:r>
      <w:r>
        <w:rPr>
          <w:rFonts w:ascii="仿宋_GB2312" w:eastAsia="仿宋_GB2312"/>
          <w:sz w:val="32"/>
          <w:szCs w:val="32"/>
        </w:rPr>
        <w:t>20</w:t>
      </w:r>
      <w:r>
        <w:rPr>
          <w:rFonts w:ascii="仿宋_GB2312" w:eastAsia="仿宋_GB2312" w:hint="eastAsia"/>
          <w:sz w:val="32"/>
          <w:szCs w:val="32"/>
        </w:rPr>
        <w:t>22年增加0.06万元，下降0.01</w:t>
      </w:r>
      <w:r>
        <w:rPr>
          <w:rFonts w:ascii="仿宋_GB2312" w:eastAsia="仿宋_GB2312"/>
          <w:sz w:val="32"/>
          <w:szCs w:val="32"/>
        </w:rPr>
        <w:t>%</w:t>
      </w:r>
      <w:r>
        <w:rPr>
          <w:rFonts w:ascii="仿宋_GB2312" w:eastAsia="仿宋_GB2312" w:hint="eastAsia"/>
          <w:sz w:val="32"/>
          <w:szCs w:val="32"/>
        </w:rPr>
        <w:t>。主要原因是公务用车维护费增加。</w:t>
      </w:r>
    </w:p>
    <w:p w14:paraId="21187717" w14:textId="77777777" w:rsidR="009C4F3C" w:rsidRDefault="00EF39FE">
      <w:pPr>
        <w:spacing w:line="600" w:lineRule="exact"/>
        <w:ind w:firstLineChars="200" w:firstLine="640"/>
        <w:rPr>
          <w:rFonts w:ascii="仿宋_GB2312" w:eastAsia="仿宋_GB2312"/>
          <w:b/>
          <w:sz w:val="32"/>
          <w:szCs w:val="32"/>
        </w:rPr>
      </w:pPr>
      <w:r>
        <w:rPr>
          <w:rFonts w:ascii="仿宋_GB2312" w:eastAsia="仿宋_GB2312" w:hint="eastAsia"/>
          <w:sz w:val="32"/>
          <w:szCs w:val="32"/>
        </w:rPr>
        <w:t>其中：</w:t>
      </w:r>
      <w:r>
        <w:rPr>
          <w:rFonts w:ascii="仿宋_GB2312" w:eastAsia="仿宋_GB2312" w:hint="eastAsia"/>
          <w:b/>
          <w:sz w:val="32"/>
          <w:szCs w:val="32"/>
        </w:rPr>
        <w:t>公务用车购置支出</w:t>
      </w:r>
      <w:r>
        <w:rPr>
          <w:rFonts w:ascii="仿宋_GB2312" w:eastAsia="仿宋_GB2312" w:hint="eastAsia"/>
          <w:sz w:val="32"/>
          <w:szCs w:val="32"/>
        </w:rPr>
        <w:t>0万元。全年按规定更新购置公务用车0辆，其中：轿车0辆、金额0万元，越野车0辆、金额0万元，载客汽车0辆、金额0万元，主要用于…。截至</w:t>
      </w:r>
      <w:r>
        <w:rPr>
          <w:rFonts w:ascii="仿宋_GB2312" w:eastAsia="仿宋_GB2312"/>
          <w:sz w:val="32"/>
          <w:szCs w:val="32"/>
        </w:rPr>
        <w:t>20</w:t>
      </w:r>
      <w:r>
        <w:rPr>
          <w:rFonts w:ascii="仿宋_GB2312" w:eastAsia="仿宋_GB2312" w:hint="eastAsia"/>
          <w:sz w:val="32"/>
          <w:szCs w:val="32"/>
        </w:rPr>
        <w:t>23年</w:t>
      </w:r>
      <w:r>
        <w:rPr>
          <w:rFonts w:ascii="仿宋_GB2312" w:eastAsia="仿宋_GB2312"/>
          <w:sz w:val="32"/>
          <w:szCs w:val="32"/>
        </w:rPr>
        <w:t>12</w:t>
      </w:r>
      <w:r>
        <w:rPr>
          <w:rFonts w:ascii="仿宋_GB2312" w:eastAsia="仿宋_GB2312" w:hint="eastAsia"/>
          <w:sz w:val="32"/>
          <w:szCs w:val="32"/>
        </w:rPr>
        <w:t>月底，单位共有公务用车44辆，其中：轿车11辆、越野车18辆、小型载客汽车4辆、大型载客汽车1辆、其他车辆10辆。</w:t>
      </w:r>
    </w:p>
    <w:p w14:paraId="429D5FEF" w14:textId="77777777" w:rsidR="009C4F3C" w:rsidRDefault="00EF39FE">
      <w:pPr>
        <w:spacing w:line="600" w:lineRule="exact"/>
        <w:ind w:firstLine="640"/>
        <w:rPr>
          <w:rFonts w:ascii="仿宋_GB2312" w:eastAsia="仿宋_GB2312"/>
          <w:sz w:val="32"/>
          <w:szCs w:val="32"/>
        </w:rPr>
      </w:pPr>
      <w:r>
        <w:rPr>
          <w:rFonts w:ascii="仿宋_GB2312" w:eastAsia="仿宋_GB2312" w:hint="eastAsia"/>
          <w:b/>
          <w:sz w:val="32"/>
          <w:szCs w:val="32"/>
        </w:rPr>
        <w:t>公务用车运行维护费支出</w:t>
      </w:r>
      <w:r>
        <w:rPr>
          <w:rFonts w:ascii="仿宋_GB2312" w:eastAsia="仿宋_GB2312" w:hint="eastAsia"/>
          <w:sz w:val="32"/>
          <w:szCs w:val="32"/>
        </w:rPr>
        <w:t>97.00万元。主要用于</w:t>
      </w:r>
      <w:r>
        <w:rPr>
          <w:rFonts w:ascii="仿宋_GB2312" w:eastAsia="仿宋_GB2312" w:hAnsi="仿宋" w:hint="eastAsia"/>
          <w:bCs/>
          <w:sz w:val="32"/>
          <w:szCs w:val="32"/>
        </w:rPr>
        <w:t>部门公务用车的机要文件传递、参加省市会议、对接扶贫工作、武装押运等工作所需燃料费、维修费、保险费、过路过桥费等支出，以及车辆租赁等相关费用</w:t>
      </w:r>
      <w:r>
        <w:rPr>
          <w:rFonts w:ascii="仿宋_GB2312" w:eastAsia="仿宋_GB2312" w:hint="eastAsia"/>
          <w:sz w:val="32"/>
          <w:szCs w:val="32"/>
        </w:rPr>
        <w:t>所需支出。</w:t>
      </w:r>
    </w:p>
    <w:p w14:paraId="2A761E9B" w14:textId="77777777" w:rsidR="009C4F3C" w:rsidRDefault="00EF39FE">
      <w:pPr>
        <w:spacing w:line="600" w:lineRule="exact"/>
        <w:ind w:firstLine="640"/>
        <w:rPr>
          <w:rFonts w:ascii="仿宋_GB2312" w:eastAsia="仿宋_GB2312"/>
          <w:sz w:val="32"/>
          <w:szCs w:val="32"/>
        </w:rPr>
      </w:pPr>
      <w:r>
        <w:rPr>
          <w:rFonts w:ascii="仿宋_GB2312" w:eastAsia="仿宋_GB2312"/>
          <w:b/>
          <w:sz w:val="32"/>
          <w:szCs w:val="32"/>
        </w:rPr>
        <w:lastRenderedPageBreak/>
        <w:t>3.</w:t>
      </w:r>
      <w:r>
        <w:rPr>
          <w:rFonts w:ascii="仿宋_GB2312" w:eastAsia="仿宋_GB2312" w:hint="eastAsia"/>
          <w:b/>
          <w:sz w:val="32"/>
          <w:szCs w:val="32"/>
        </w:rPr>
        <w:t>公务接待费支出</w:t>
      </w:r>
      <w:r>
        <w:rPr>
          <w:rFonts w:ascii="仿宋_GB2312" w:eastAsia="仿宋_GB2312" w:hint="eastAsia"/>
          <w:sz w:val="32"/>
          <w:szCs w:val="32"/>
        </w:rPr>
        <w:t>1.60万元，</w:t>
      </w:r>
      <w:r>
        <w:rPr>
          <w:rStyle w:val="ae"/>
          <w:rFonts w:ascii="仿宋" w:eastAsia="仿宋" w:hAnsi="仿宋" w:hint="eastAsia"/>
          <w:b w:val="0"/>
          <w:bCs/>
          <w:sz w:val="32"/>
          <w:szCs w:val="32"/>
        </w:rPr>
        <w:t>完成预算100</w:t>
      </w:r>
      <w:r>
        <w:rPr>
          <w:rStyle w:val="ae"/>
          <w:rFonts w:ascii="仿宋" w:eastAsia="仿宋" w:hAnsi="仿宋"/>
          <w:b w:val="0"/>
          <w:bCs/>
          <w:sz w:val="32"/>
          <w:szCs w:val="32"/>
        </w:rPr>
        <w:t>%</w:t>
      </w:r>
      <w:r>
        <w:rPr>
          <w:rStyle w:val="ae"/>
          <w:rFonts w:ascii="仿宋" w:eastAsia="仿宋" w:hAnsi="仿宋" w:hint="eastAsia"/>
          <w:b w:val="0"/>
          <w:bCs/>
          <w:sz w:val="32"/>
          <w:szCs w:val="32"/>
        </w:rPr>
        <w:t>。</w:t>
      </w:r>
      <w:r>
        <w:rPr>
          <w:rFonts w:ascii="仿宋_GB2312" w:eastAsia="仿宋_GB2312" w:hint="eastAsia"/>
          <w:sz w:val="32"/>
          <w:szCs w:val="32"/>
        </w:rPr>
        <w:t>公务接待费支出决算比</w:t>
      </w:r>
      <w:r>
        <w:rPr>
          <w:rFonts w:ascii="仿宋_GB2312" w:eastAsia="仿宋_GB2312"/>
          <w:sz w:val="32"/>
          <w:szCs w:val="32"/>
        </w:rPr>
        <w:t>20</w:t>
      </w:r>
      <w:r>
        <w:rPr>
          <w:rFonts w:ascii="仿宋_GB2312" w:eastAsia="仿宋_GB2312" w:hint="eastAsia"/>
          <w:sz w:val="32"/>
          <w:szCs w:val="32"/>
        </w:rPr>
        <w:t>22年增加1.06万元，上升196.30</w:t>
      </w:r>
      <w:r>
        <w:rPr>
          <w:rFonts w:ascii="仿宋_GB2312" w:eastAsia="仿宋_GB2312"/>
          <w:sz w:val="32"/>
          <w:szCs w:val="32"/>
        </w:rPr>
        <w:t>%</w:t>
      </w:r>
      <w:r>
        <w:rPr>
          <w:rFonts w:ascii="仿宋_GB2312" w:eastAsia="仿宋_GB2312" w:hint="eastAsia"/>
          <w:sz w:val="32"/>
          <w:szCs w:val="32"/>
        </w:rPr>
        <w:t>。主要原因是</w:t>
      </w:r>
      <w:r>
        <w:rPr>
          <w:rFonts w:ascii="仿宋_GB2312" w:eastAsia="仿宋_GB2312" w:hAnsi="仿宋" w:hint="eastAsia"/>
          <w:sz w:val="32"/>
          <w:szCs w:val="32"/>
        </w:rPr>
        <w:t>疫情得到缓解，增加公务接待</w:t>
      </w:r>
      <w:r>
        <w:rPr>
          <w:rFonts w:ascii="仿宋_GB2312" w:eastAsia="仿宋_GB2312" w:hint="eastAsia"/>
          <w:sz w:val="32"/>
          <w:szCs w:val="32"/>
        </w:rPr>
        <w:t>。其中：</w:t>
      </w:r>
    </w:p>
    <w:p w14:paraId="1080DE6D" w14:textId="77777777" w:rsidR="009C4F3C" w:rsidRDefault="00EF39FE">
      <w:pPr>
        <w:spacing w:line="600" w:lineRule="exact"/>
        <w:ind w:firstLine="640"/>
        <w:rPr>
          <w:rFonts w:ascii="仿宋_GB2312" w:eastAsia="仿宋_GB2312"/>
          <w:sz w:val="32"/>
          <w:szCs w:val="32"/>
        </w:rPr>
      </w:pPr>
      <w:r>
        <w:rPr>
          <w:rFonts w:ascii="仿宋_GB2312" w:eastAsia="仿宋_GB2312" w:hint="eastAsia"/>
          <w:sz w:val="32"/>
          <w:szCs w:val="32"/>
        </w:rPr>
        <w:t>国内公务接待支出1.60万元，主要用于接待各职能部门、协作企业、社会团体用餐、交通等费用。国内公务接待8批次，80人次（不包括陪同人员），共计支出1.60万元。</w:t>
      </w:r>
    </w:p>
    <w:p w14:paraId="3AE1C554" w14:textId="6DA40ED4" w:rsidR="009C4F3C" w:rsidRDefault="00EF39FE">
      <w:pPr>
        <w:spacing w:line="600" w:lineRule="exact"/>
        <w:ind w:firstLine="640"/>
        <w:outlineLvl w:val="2"/>
        <w:rPr>
          <w:rFonts w:ascii="仿宋_GB2312" w:eastAsia="仿宋_GB2312"/>
          <w:sz w:val="32"/>
          <w:szCs w:val="32"/>
        </w:rPr>
      </w:pPr>
      <w:r>
        <w:rPr>
          <w:rFonts w:ascii="仿宋" w:eastAsia="仿宋" w:hAnsi="仿宋" w:hint="eastAsia"/>
          <w:b/>
          <w:sz w:val="32"/>
          <w:szCs w:val="32"/>
        </w:rPr>
        <w:t>外事接待支出</w:t>
      </w:r>
      <w:r>
        <w:rPr>
          <w:rFonts w:ascii="仿宋" w:eastAsia="仿宋" w:hAnsi="仿宋" w:hint="eastAsia"/>
          <w:sz w:val="32"/>
          <w:szCs w:val="32"/>
        </w:rPr>
        <w:t>0</w:t>
      </w:r>
      <w:r>
        <w:rPr>
          <w:rFonts w:ascii="仿宋_GB2312" w:eastAsia="仿宋_GB2312" w:hint="eastAsia"/>
          <w:sz w:val="32"/>
          <w:szCs w:val="32"/>
        </w:rPr>
        <w:t>万元。外事接待0批次，0人次（不包括陪同人员），共计支出0万元。</w:t>
      </w:r>
    </w:p>
    <w:p w14:paraId="025BF72B" w14:textId="77777777" w:rsidR="009C4F3C" w:rsidRDefault="00EF39FE">
      <w:pPr>
        <w:spacing w:line="600" w:lineRule="exact"/>
        <w:ind w:firstLine="640"/>
        <w:outlineLvl w:val="1"/>
        <w:rPr>
          <w:rStyle w:val="20"/>
          <w:rFonts w:ascii="黑体" w:eastAsia="黑体" w:hAnsi="黑体" w:hint="eastAsia"/>
        </w:rPr>
      </w:pPr>
      <w:bookmarkStart w:id="41" w:name="_Toc15396610"/>
      <w:bookmarkStart w:id="42" w:name="_Toc15377218"/>
      <w:bookmarkEnd w:id="40"/>
      <w:r>
        <w:rPr>
          <w:rFonts w:ascii="黑体" w:eastAsia="黑体" w:hint="eastAsia"/>
          <w:sz w:val="32"/>
          <w:szCs w:val="32"/>
        </w:rPr>
        <w:t>八、</w:t>
      </w:r>
      <w:r>
        <w:rPr>
          <w:rStyle w:val="20"/>
          <w:rFonts w:ascii="黑体" w:eastAsia="黑体" w:hAnsi="黑体" w:hint="eastAsia"/>
          <w:b w:val="0"/>
        </w:rPr>
        <w:t>政府性基金预算支出决算情况说明</w:t>
      </w:r>
      <w:bookmarkEnd w:id="41"/>
      <w:bookmarkEnd w:id="42"/>
    </w:p>
    <w:p w14:paraId="1D25E352" w14:textId="77777777" w:rsidR="009C4F3C" w:rsidRDefault="00EF39FE">
      <w:pPr>
        <w:spacing w:line="600" w:lineRule="exact"/>
        <w:ind w:firstLine="640"/>
        <w:rPr>
          <w:rFonts w:ascii="仿宋_GB2312" w:eastAsia="仿宋_GB2312"/>
          <w:sz w:val="32"/>
          <w:szCs w:val="32"/>
        </w:rPr>
      </w:pPr>
      <w:r>
        <w:rPr>
          <w:rFonts w:ascii="仿宋_GB2312" w:eastAsia="仿宋_GB2312" w:hint="eastAsia"/>
          <w:sz w:val="32"/>
          <w:szCs w:val="32"/>
        </w:rPr>
        <w:t>2023年度政府性基金预算财政拨款支出0万元。</w:t>
      </w:r>
    </w:p>
    <w:p w14:paraId="518E8B32" w14:textId="77777777" w:rsidR="009C4F3C" w:rsidRDefault="009C4F3C">
      <w:pPr>
        <w:spacing w:line="600" w:lineRule="exact"/>
        <w:ind w:firstLine="640"/>
        <w:rPr>
          <w:rFonts w:ascii="仿宋_GB2312" w:eastAsia="仿宋_GB2312"/>
          <w:sz w:val="32"/>
          <w:szCs w:val="32"/>
        </w:rPr>
      </w:pPr>
    </w:p>
    <w:p w14:paraId="647ED5CD" w14:textId="77777777" w:rsidR="009C4F3C" w:rsidRDefault="00EF39FE">
      <w:pPr>
        <w:numPr>
          <w:ilvl w:val="0"/>
          <w:numId w:val="4"/>
        </w:numPr>
        <w:spacing w:line="600" w:lineRule="exact"/>
        <w:ind w:firstLine="640"/>
        <w:outlineLvl w:val="1"/>
        <w:rPr>
          <w:rStyle w:val="20"/>
          <w:rFonts w:ascii="黑体" w:eastAsia="黑体" w:hAnsi="黑体" w:hint="eastAsia"/>
          <w:b w:val="0"/>
        </w:rPr>
      </w:pPr>
      <w:bookmarkStart w:id="43" w:name="_Toc15377219"/>
      <w:bookmarkStart w:id="44" w:name="_Toc15396611"/>
      <w:r>
        <w:rPr>
          <w:rStyle w:val="20"/>
          <w:rFonts w:ascii="黑体" w:eastAsia="黑体" w:hAnsi="黑体" w:hint="eastAsia"/>
          <w:b w:val="0"/>
        </w:rPr>
        <w:t>国有资本经营预算支出决算情况说明</w:t>
      </w:r>
      <w:bookmarkEnd w:id="43"/>
      <w:bookmarkEnd w:id="44"/>
    </w:p>
    <w:p w14:paraId="70DD151A" w14:textId="77777777" w:rsidR="009C4F3C" w:rsidRDefault="00EF39FE">
      <w:pPr>
        <w:spacing w:line="600" w:lineRule="exact"/>
        <w:ind w:firstLine="640"/>
        <w:rPr>
          <w:rFonts w:ascii="仿宋_GB2312" w:eastAsia="仿宋_GB2312"/>
          <w:sz w:val="32"/>
          <w:szCs w:val="32"/>
        </w:rPr>
      </w:pPr>
      <w:r>
        <w:rPr>
          <w:rFonts w:ascii="仿宋_GB2312" w:eastAsia="仿宋_GB2312" w:hint="eastAsia"/>
          <w:sz w:val="32"/>
          <w:szCs w:val="32"/>
        </w:rPr>
        <w:t>2023年度国有资本经营预算财政拨款支出0万元。</w:t>
      </w:r>
    </w:p>
    <w:p w14:paraId="6C7F7B68" w14:textId="77777777" w:rsidR="009C4F3C" w:rsidRDefault="009C4F3C">
      <w:pPr>
        <w:spacing w:line="580" w:lineRule="exact"/>
        <w:jc w:val="center"/>
        <w:rPr>
          <w:rFonts w:ascii="方正小标宋简体" w:eastAsia="方正小标宋简体" w:hAnsi="方正小标宋简体" w:cs="方正小标宋简体" w:hint="eastAsia"/>
          <w:sz w:val="44"/>
          <w:szCs w:val="44"/>
        </w:rPr>
      </w:pPr>
    </w:p>
    <w:p w14:paraId="71AE3373" w14:textId="77777777" w:rsidR="009C4F3C" w:rsidRDefault="00EF39FE">
      <w:pPr>
        <w:numPr>
          <w:ilvl w:val="0"/>
          <w:numId w:val="4"/>
        </w:numPr>
        <w:spacing w:line="600" w:lineRule="exact"/>
        <w:ind w:firstLine="640"/>
        <w:outlineLvl w:val="1"/>
        <w:rPr>
          <w:rStyle w:val="20"/>
          <w:rFonts w:ascii="黑体" w:eastAsia="黑体" w:hAnsi="黑体" w:hint="eastAsia"/>
          <w:b w:val="0"/>
        </w:rPr>
      </w:pPr>
      <w:bookmarkStart w:id="45" w:name="_Toc15396612"/>
      <w:bookmarkStart w:id="46" w:name="_Toc15377221"/>
      <w:r>
        <w:rPr>
          <w:rStyle w:val="20"/>
          <w:rFonts w:ascii="黑体" w:eastAsia="黑体" w:hAnsi="黑体" w:hint="eastAsia"/>
          <w:b w:val="0"/>
        </w:rPr>
        <w:t>其他重要事项的情况说明</w:t>
      </w:r>
      <w:bookmarkEnd w:id="45"/>
      <w:bookmarkEnd w:id="46"/>
    </w:p>
    <w:p w14:paraId="42F8A78E" w14:textId="77777777" w:rsidR="009C4F3C" w:rsidRDefault="00EF39FE">
      <w:pPr>
        <w:spacing w:line="600" w:lineRule="exact"/>
        <w:ind w:firstLineChars="200" w:firstLine="643"/>
        <w:outlineLvl w:val="2"/>
        <w:rPr>
          <w:rFonts w:ascii="仿宋" w:eastAsia="仿宋" w:hAnsi="仿宋" w:hint="eastAsia"/>
          <w:sz w:val="32"/>
          <w:szCs w:val="32"/>
        </w:rPr>
      </w:pPr>
      <w:bookmarkStart w:id="47" w:name="_Toc15377222"/>
      <w:r>
        <w:rPr>
          <w:rFonts w:ascii="仿宋" w:eastAsia="仿宋" w:hAnsi="仿宋" w:hint="eastAsia"/>
          <w:b/>
          <w:sz w:val="32"/>
          <w:szCs w:val="32"/>
        </w:rPr>
        <w:t>（一）机关运行经费支出情况</w:t>
      </w:r>
      <w:bookmarkEnd w:id="47"/>
    </w:p>
    <w:p w14:paraId="5840D843" w14:textId="77777777" w:rsidR="009C4F3C" w:rsidRDefault="00EF39FE">
      <w:pPr>
        <w:spacing w:line="600" w:lineRule="exact"/>
        <w:ind w:firstLineChars="200"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23年，四川省人民政府科学城办事处无机关运行经费支出。</w:t>
      </w:r>
    </w:p>
    <w:p w14:paraId="4AB56ED6" w14:textId="77777777" w:rsidR="009C4F3C" w:rsidRDefault="00EF39FE">
      <w:pPr>
        <w:spacing w:line="600" w:lineRule="exact"/>
        <w:ind w:firstLineChars="200" w:firstLine="643"/>
        <w:rPr>
          <w:rFonts w:ascii="仿宋" w:eastAsia="仿宋" w:hAnsi="仿宋" w:hint="eastAsia"/>
          <w:b/>
          <w:sz w:val="32"/>
          <w:szCs w:val="32"/>
        </w:rPr>
      </w:pPr>
      <w:r>
        <w:rPr>
          <w:rFonts w:ascii="仿宋" w:eastAsia="仿宋" w:hAnsi="仿宋" w:hint="eastAsia"/>
          <w:b/>
          <w:sz w:val="32"/>
          <w:szCs w:val="32"/>
        </w:rPr>
        <w:t>（注：数据来源于财决附</w:t>
      </w:r>
      <w:r>
        <w:rPr>
          <w:rFonts w:ascii="仿宋" w:eastAsia="仿宋" w:hAnsi="仿宋"/>
          <w:b/>
          <w:sz w:val="32"/>
          <w:szCs w:val="32"/>
        </w:rPr>
        <w:t>03</w:t>
      </w:r>
      <w:r>
        <w:rPr>
          <w:rFonts w:ascii="仿宋" w:eastAsia="仿宋" w:hAnsi="仿宋" w:hint="eastAsia"/>
          <w:b/>
          <w:sz w:val="32"/>
          <w:szCs w:val="32"/>
        </w:rPr>
        <w:t>表）</w:t>
      </w:r>
    </w:p>
    <w:p w14:paraId="2D69E22F" w14:textId="77777777" w:rsidR="009C4F3C" w:rsidRDefault="00EF39FE">
      <w:pPr>
        <w:autoSpaceDE w:val="0"/>
        <w:autoSpaceDN w:val="0"/>
        <w:adjustRightInd w:val="0"/>
        <w:spacing w:line="600" w:lineRule="exact"/>
        <w:ind w:firstLineChars="200" w:firstLine="643"/>
        <w:jc w:val="left"/>
        <w:outlineLvl w:val="2"/>
        <w:rPr>
          <w:rFonts w:ascii="仿宋" w:eastAsia="仿宋" w:hAnsi="仿宋" w:hint="eastAsia"/>
          <w:b/>
          <w:sz w:val="32"/>
          <w:szCs w:val="32"/>
        </w:rPr>
      </w:pPr>
      <w:bookmarkStart w:id="48" w:name="_Toc15377223"/>
      <w:r>
        <w:rPr>
          <w:rFonts w:ascii="仿宋" w:eastAsia="仿宋" w:hAnsi="仿宋" w:hint="eastAsia"/>
          <w:b/>
          <w:sz w:val="32"/>
          <w:szCs w:val="32"/>
        </w:rPr>
        <w:t>（二）政府采购支出情况</w:t>
      </w:r>
      <w:bookmarkEnd w:id="48"/>
    </w:p>
    <w:p w14:paraId="5216E1C4" w14:textId="77777777" w:rsidR="009C4F3C" w:rsidRDefault="00EF39FE">
      <w:pPr>
        <w:spacing w:line="600" w:lineRule="exact"/>
        <w:ind w:firstLineChars="200"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23年，四川省人民政府科学城办事处政府采购支出总额</w:t>
      </w:r>
      <w:r>
        <w:rPr>
          <w:rFonts w:ascii="仿宋_GB2312" w:eastAsia="仿宋_GB2312" w:hint="eastAsia"/>
          <w:sz w:val="32"/>
          <w:szCs w:val="32"/>
        </w:rPr>
        <w:lastRenderedPageBreak/>
        <w:t>360.80万元，其中：政府采购货物支出0万元、政府采购工程支出0万元、政府采购服务支出360.80万元。主要用于委托服务费、公务用车维护费、网络信息租赁。授予中小企业合同金额98.00万元，占政府采购支出总额的27.20</w:t>
      </w:r>
      <w:r>
        <w:rPr>
          <w:rFonts w:ascii="仿宋_GB2312" w:eastAsia="仿宋_GB2312"/>
          <w:sz w:val="32"/>
          <w:szCs w:val="32"/>
        </w:rPr>
        <w:t>%</w:t>
      </w:r>
      <w:r>
        <w:rPr>
          <w:rFonts w:ascii="仿宋_GB2312" w:eastAsia="仿宋_GB2312" w:hint="eastAsia"/>
          <w:sz w:val="32"/>
          <w:szCs w:val="32"/>
        </w:rPr>
        <w:t>，其中：授予小微企业合同金额0万元，占政府采购支出总额的0</w:t>
      </w:r>
      <w:r>
        <w:rPr>
          <w:rFonts w:ascii="仿宋_GB2312" w:eastAsia="仿宋_GB2312"/>
          <w:sz w:val="32"/>
          <w:szCs w:val="32"/>
        </w:rPr>
        <w:t>%</w:t>
      </w:r>
      <w:r>
        <w:rPr>
          <w:rFonts w:ascii="仿宋_GB2312" w:eastAsia="仿宋_GB2312" w:hint="eastAsia"/>
          <w:sz w:val="32"/>
          <w:szCs w:val="32"/>
        </w:rPr>
        <w:t>。</w:t>
      </w:r>
    </w:p>
    <w:p w14:paraId="52DFFAFD" w14:textId="77777777" w:rsidR="009C4F3C" w:rsidRDefault="00EF39FE">
      <w:pPr>
        <w:spacing w:line="600" w:lineRule="exact"/>
        <w:ind w:firstLineChars="200" w:firstLine="643"/>
        <w:rPr>
          <w:rFonts w:ascii="仿宋" w:eastAsia="仿宋" w:hAnsi="仿宋" w:hint="eastAsia"/>
          <w:b/>
          <w:sz w:val="32"/>
          <w:szCs w:val="32"/>
        </w:rPr>
      </w:pPr>
      <w:r>
        <w:rPr>
          <w:rFonts w:ascii="仿宋" w:eastAsia="仿宋" w:hAnsi="仿宋" w:hint="eastAsia"/>
          <w:b/>
          <w:sz w:val="32"/>
          <w:szCs w:val="32"/>
        </w:rPr>
        <w:t>（注：数据来源于财决附</w:t>
      </w:r>
      <w:r>
        <w:rPr>
          <w:rFonts w:ascii="仿宋" w:eastAsia="仿宋" w:hAnsi="仿宋"/>
          <w:b/>
          <w:sz w:val="32"/>
          <w:szCs w:val="32"/>
        </w:rPr>
        <w:t>03</w:t>
      </w:r>
      <w:r>
        <w:rPr>
          <w:rFonts w:ascii="仿宋" w:eastAsia="仿宋" w:hAnsi="仿宋" w:hint="eastAsia"/>
          <w:b/>
          <w:sz w:val="32"/>
          <w:szCs w:val="32"/>
        </w:rPr>
        <w:t>表）</w:t>
      </w:r>
    </w:p>
    <w:p w14:paraId="75AC8D21" w14:textId="77777777" w:rsidR="009C4F3C" w:rsidRDefault="00EF39FE">
      <w:pPr>
        <w:autoSpaceDE w:val="0"/>
        <w:autoSpaceDN w:val="0"/>
        <w:adjustRightInd w:val="0"/>
        <w:spacing w:line="600" w:lineRule="exact"/>
        <w:ind w:firstLineChars="200" w:firstLine="643"/>
        <w:jc w:val="left"/>
        <w:outlineLvl w:val="2"/>
        <w:rPr>
          <w:rFonts w:ascii="仿宋" w:eastAsia="仿宋" w:hAnsi="仿宋" w:hint="eastAsia"/>
          <w:b/>
          <w:sz w:val="32"/>
          <w:szCs w:val="32"/>
        </w:rPr>
      </w:pPr>
      <w:bookmarkStart w:id="49" w:name="_Toc15377224"/>
      <w:r>
        <w:rPr>
          <w:rFonts w:ascii="仿宋" w:eastAsia="仿宋" w:hAnsi="仿宋" w:hint="eastAsia"/>
          <w:b/>
          <w:sz w:val="32"/>
          <w:szCs w:val="32"/>
        </w:rPr>
        <w:t>（三）国有资产占有使用情况</w:t>
      </w:r>
      <w:bookmarkEnd w:id="49"/>
    </w:p>
    <w:p w14:paraId="77AF274B" w14:textId="77777777" w:rsidR="009C4F3C" w:rsidRDefault="00EF39FE">
      <w:pPr>
        <w:autoSpaceDE w:val="0"/>
        <w:autoSpaceDN w:val="0"/>
        <w:adjustRightInd w:val="0"/>
        <w:spacing w:line="600" w:lineRule="exact"/>
        <w:ind w:firstLineChars="200" w:firstLine="640"/>
        <w:jc w:val="left"/>
        <w:rPr>
          <w:rFonts w:ascii="仿宋_GB2312" w:eastAsia="仿宋_GB2312"/>
          <w:sz w:val="32"/>
          <w:szCs w:val="32"/>
        </w:rPr>
      </w:pPr>
      <w:r>
        <w:rPr>
          <w:rFonts w:ascii="仿宋_GB2312" w:eastAsia="仿宋_GB2312" w:hint="eastAsia"/>
          <w:sz w:val="32"/>
          <w:szCs w:val="32"/>
        </w:rPr>
        <w:t>截至</w:t>
      </w:r>
      <w:r>
        <w:rPr>
          <w:rFonts w:ascii="仿宋_GB2312" w:eastAsia="仿宋_GB2312"/>
          <w:sz w:val="32"/>
          <w:szCs w:val="32"/>
        </w:rPr>
        <w:t>20</w:t>
      </w:r>
      <w:r>
        <w:rPr>
          <w:rFonts w:ascii="仿宋_GB2312" w:eastAsia="仿宋_GB2312" w:hint="eastAsia"/>
          <w:sz w:val="32"/>
          <w:szCs w:val="32"/>
        </w:rPr>
        <w:t>22年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r>
        <w:rPr>
          <w:rFonts w:ascii="仿宋_GB2312" w:eastAsia="仿宋_GB2312" w:hint="eastAsia"/>
          <w:sz w:val="32"/>
          <w:szCs w:val="32"/>
        </w:rPr>
        <w:t>日，四川省人民政府科学城办事处共有车辆44辆。</w:t>
      </w:r>
    </w:p>
    <w:p w14:paraId="15834F47" w14:textId="77777777" w:rsidR="009C4F3C" w:rsidRDefault="00EF39FE">
      <w:pPr>
        <w:autoSpaceDE w:val="0"/>
        <w:autoSpaceDN w:val="0"/>
        <w:adjustRightInd w:val="0"/>
        <w:spacing w:line="600" w:lineRule="exact"/>
        <w:ind w:firstLineChars="200" w:firstLine="640"/>
        <w:jc w:val="left"/>
        <w:rPr>
          <w:rFonts w:ascii="仿宋_GB2312" w:eastAsia="仿宋_GB2312"/>
          <w:sz w:val="32"/>
          <w:szCs w:val="32"/>
        </w:rPr>
      </w:pPr>
      <w:r>
        <w:rPr>
          <w:rFonts w:ascii="仿宋_GB2312" w:eastAsia="仿宋_GB2312" w:hAnsi="仿宋" w:cs="仿宋" w:hint="eastAsia"/>
          <w:color w:val="000000"/>
          <w:sz w:val="32"/>
          <w:szCs w:val="32"/>
        </w:rPr>
        <w:t>公务车辆信息已向财政部报送，故不再重复报送。</w:t>
      </w:r>
    </w:p>
    <w:p w14:paraId="698500FA" w14:textId="77777777" w:rsidR="009C4F3C" w:rsidRDefault="00EF39FE">
      <w:pPr>
        <w:autoSpaceDE w:val="0"/>
        <w:autoSpaceDN w:val="0"/>
        <w:adjustRightInd w:val="0"/>
        <w:spacing w:line="600" w:lineRule="exact"/>
        <w:ind w:firstLineChars="200" w:firstLine="643"/>
        <w:jc w:val="left"/>
        <w:rPr>
          <w:rFonts w:ascii="仿宋" w:eastAsia="仿宋" w:hAnsi="仿宋" w:hint="eastAsia"/>
          <w:b/>
          <w:sz w:val="32"/>
          <w:szCs w:val="32"/>
        </w:rPr>
      </w:pPr>
      <w:r>
        <w:rPr>
          <w:rFonts w:ascii="仿宋" w:eastAsia="仿宋" w:hAnsi="仿宋" w:hint="eastAsia"/>
          <w:b/>
          <w:sz w:val="32"/>
          <w:szCs w:val="32"/>
        </w:rPr>
        <w:t>（注：数据来源于财决附</w:t>
      </w:r>
      <w:r>
        <w:rPr>
          <w:rFonts w:ascii="仿宋" w:eastAsia="仿宋" w:hAnsi="仿宋"/>
          <w:b/>
          <w:sz w:val="32"/>
          <w:szCs w:val="32"/>
        </w:rPr>
        <w:t>03</w:t>
      </w:r>
      <w:r>
        <w:rPr>
          <w:rFonts w:ascii="仿宋" w:eastAsia="仿宋" w:hAnsi="仿宋" w:hint="eastAsia"/>
          <w:b/>
          <w:sz w:val="32"/>
          <w:szCs w:val="32"/>
        </w:rPr>
        <w:t>表，按部门决算报表填报数据罗列车辆情况。）</w:t>
      </w:r>
    </w:p>
    <w:p w14:paraId="2E835AC7" w14:textId="77777777" w:rsidR="009C4F3C" w:rsidRDefault="00EF39FE">
      <w:pPr>
        <w:autoSpaceDE w:val="0"/>
        <w:autoSpaceDN w:val="0"/>
        <w:adjustRightInd w:val="0"/>
        <w:spacing w:line="600" w:lineRule="exact"/>
        <w:ind w:firstLineChars="200" w:firstLine="643"/>
        <w:jc w:val="left"/>
        <w:outlineLvl w:val="2"/>
        <w:rPr>
          <w:rFonts w:ascii="仿宋" w:eastAsia="仿宋" w:hAnsi="仿宋" w:hint="eastAsia"/>
          <w:b/>
          <w:sz w:val="32"/>
          <w:szCs w:val="32"/>
        </w:rPr>
      </w:pPr>
      <w:r>
        <w:rPr>
          <w:rFonts w:ascii="仿宋" w:eastAsia="仿宋" w:hAnsi="仿宋" w:hint="eastAsia"/>
          <w:b/>
          <w:sz w:val="32"/>
          <w:szCs w:val="32"/>
        </w:rPr>
        <w:t>（四）预算绩效管理情况</w:t>
      </w:r>
    </w:p>
    <w:p w14:paraId="003E439D" w14:textId="77777777" w:rsidR="009C4F3C" w:rsidRDefault="00EF39FE">
      <w:pPr>
        <w:widowControl/>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根据预算绩效管理要求，本部门在2023年度预算编制阶段，对3个项目编制了绩效目标，预算执行过程中，选取3个项目开展绩效监控。</w:t>
      </w:r>
    </w:p>
    <w:p w14:paraId="6FB47DCD" w14:textId="77777777" w:rsidR="009C4F3C" w:rsidRDefault="00EF39FE">
      <w:pPr>
        <w:widowControl/>
        <w:ind w:firstLineChars="200" w:firstLine="640"/>
        <w:jc w:val="left"/>
        <w:rPr>
          <w:rFonts w:ascii="仿宋_GB2312" w:eastAsia="仿宋_GB2312"/>
          <w:b/>
          <w:sz w:val="32"/>
          <w:szCs w:val="32"/>
        </w:rPr>
      </w:pPr>
      <w:r>
        <w:rPr>
          <w:rFonts w:ascii="仿宋_GB2312" w:eastAsia="仿宋_GB2312" w:hAnsi="仿宋_GB2312" w:cs="仿宋_GB2312" w:hint="eastAsia"/>
          <w:sz w:val="32"/>
          <w:szCs w:val="32"/>
        </w:rPr>
        <w:t>组织对2023年度一般公共预算、政府性基金预算、国有资本经营预算、社会保险基金预算以及资本资产、债券资金等全面开展绩效自评，形成四川省人民政府科学城办事处部门整体（含部门预算项目）绩效自评报告，其中，四川省人民政府科学城办事处部门整体（含部门预算项目）绩效自评得分为98.10分，绩</w:t>
      </w:r>
      <w:r>
        <w:rPr>
          <w:rFonts w:ascii="仿宋_GB2312" w:eastAsia="仿宋_GB2312" w:hAnsi="仿宋_GB2312" w:cs="仿宋_GB2312" w:hint="eastAsia"/>
          <w:sz w:val="32"/>
          <w:szCs w:val="32"/>
        </w:rPr>
        <w:lastRenderedPageBreak/>
        <w:t>效自评综述：我单位</w:t>
      </w:r>
      <w:r>
        <w:rPr>
          <w:rFonts w:ascii="仿宋_GB2312" w:eastAsia="仿宋_GB2312" w:hAnsi="仿宋_GB2312" w:cs="仿宋_GB2312" w:hint="eastAsia"/>
          <w:sz w:val="32"/>
          <w:szCs w:val="32"/>
          <w:lang w:val="zh-CN"/>
        </w:rPr>
        <w:t>严格按照《</w:t>
      </w:r>
      <w:r>
        <w:rPr>
          <w:rFonts w:ascii="仿宋_GB2312" w:eastAsia="仿宋_GB2312" w:hAnsi="仿宋_GB2312" w:cs="仿宋_GB2312" w:hint="eastAsia"/>
          <w:sz w:val="32"/>
          <w:szCs w:val="32"/>
        </w:rPr>
        <w:t>2024年省级部门整体绩效自评报告范本</w:t>
      </w:r>
      <w:r>
        <w:rPr>
          <w:rFonts w:ascii="仿宋_GB2312" w:eastAsia="仿宋_GB2312" w:hAnsi="仿宋_GB2312" w:cs="仿宋_GB2312" w:hint="eastAsia"/>
          <w:sz w:val="32"/>
          <w:szCs w:val="32"/>
          <w:lang w:val="zh-CN"/>
        </w:rPr>
        <w:t>》和《</w:t>
      </w:r>
      <w:r>
        <w:rPr>
          <w:rFonts w:ascii="仿宋_GB2312" w:eastAsia="仿宋_GB2312" w:hAnsi="仿宋_GB2312" w:cs="仿宋_GB2312" w:hint="eastAsia"/>
          <w:sz w:val="32"/>
          <w:szCs w:val="32"/>
        </w:rPr>
        <w:t>2024年省级部门整体绩效评价指标体系</w:t>
      </w:r>
      <w:r>
        <w:rPr>
          <w:rFonts w:ascii="仿宋_GB2312" w:eastAsia="仿宋_GB2312" w:hAnsi="仿宋_GB2312" w:cs="仿宋_GB2312" w:hint="eastAsia"/>
          <w:sz w:val="32"/>
          <w:szCs w:val="32"/>
          <w:lang w:val="zh-CN"/>
        </w:rPr>
        <w:t>》开展自评工作，</w:t>
      </w:r>
      <w:r>
        <w:rPr>
          <w:rFonts w:ascii="仿宋_GB2312" w:eastAsia="仿宋_GB2312" w:hAnsi="仿宋_GB2312" w:cs="仿宋_GB2312" w:hint="eastAsia"/>
          <w:sz w:val="32"/>
          <w:szCs w:val="32"/>
        </w:rPr>
        <w:t>项目目标明确，资金到位及时，项目的组织管理有效，项目绩效目标基本实现；绩效自评报告详见附件。</w:t>
      </w:r>
    </w:p>
    <w:p w14:paraId="7A4B2246" w14:textId="77777777" w:rsidR="009C4F3C" w:rsidRDefault="009C4F3C"/>
    <w:p w14:paraId="2F6EC8F3" w14:textId="77777777" w:rsidR="009C4F3C" w:rsidRDefault="00EF39FE">
      <w:pPr>
        <w:numPr>
          <w:ilvl w:val="0"/>
          <w:numId w:val="5"/>
        </w:numPr>
        <w:spacing w:line="600" w:lineRule="exact"/>
        <w:ind w:firstLineChars="150" w:firstLine="660"/>
        <w:jc w:val="center"/>
        <w:outlineLvl w:val="0"/>
        <w:rPr>
          <w:rStyle w:val="1Char"/>
          <w:rFonts w:ascii="黑体" w:eastAsia="黑体" w:hAnsi="黑体" w:hint="eastAsia"/>
          <w:b w:val="0"/>
        </w:rPr>
      </w:pPr>
      <w:bookmarkStart w:id="50" w:name="_Toc15377225"/>
      <w:bookmarkStart w:id="51" w:name="_Toc15396613"/>
      <w:r>
        <w:rPr>
          <w:rFonts w:ascii="黑体" w:eastAsia="黑体" w:hAnsi="黑体" w:hint="eastAsia"/>
          <w:sz w:val="44"/>
          <w:szCs w:val="44"/>
        </w:rPr>
        <w:t>名</w:t>
      </w:r>
      <w:r>
        <w:rPr>
          <w:rStyle w:val="1Char"/>
          <w:rFonts w:ascii="黑体" w:eastAsia="黑体" w:hAnsi="黑体" w:hint="eastAsia"/>
          <w:b w:val="0"/>
        </w:rPr>
        <w:t>词解释</w:t>
      </w:r>
      <w:bookmarkEnd w:id="50"/>
      <w:bookmarkEnd w:id="51"/>
    </w:p>
    <w:p w14:paraId="481FCCF2" w14:textId="77777777" w:rsidR="009C4F3C" w:rsidRDefault="009C4F3C">
      <w:pPr>
        <w:spacing w:line="600" w:lineRule="exact"/>
        <w:jc w:val="left"/>
        <w:rPr>
          <w:rFonts w:ascii="宋体"/>
          <w:b/>
          <w:sz w:val="44"/>
          <w:szCs w:val="44"/>
        </w:rPr>
      </w:pPr>
    </w:p>
    <w:p w14:paraId="07064260" w14:textId="77777777" w:rsidR="009C4F3C" w:rsidRDefault="00EF39FE">
      <w:pPr>
        <w:pStyle w:val="Default"/>
        <w:spacing w:line="560" w:lineRule="exact"/>
        <w:ind w:firstLineChars="200" w:firstLine="640"/>
        <w:rPr>
          <w:rFonts w:ascii="仿宋_GB2312" w:eastAsia="仿宋_GB2312"/>
          <w:color w:val="auto"/>
          <w:sz w:val="32"/>
          <w:szCs w:val="32"/>
        </w:rPr>
      </w:pPr>
      <w:bookmarkStart w:id="52" w:name="_Toc15377226"/>
      <w:r>
        <w:rPr>
          <w:rFonts w:ascii="仿宋_GB2312" w:eastAsia="仿宋_GB2312"/>
          <w:color w:val="auto"/>
          <w:sz w:val="32"/>
          <w:szCs w:val="32"/>
        </w:rPr>
        <w:t>1.</w:t>
      </w:r>
      <w:r>
        <w:rPr>
          <w:rFonts w:ascii="仿宋_GB2312" w:eastAsia="仿宋_GB2312" w:hint="eastAsia"/>
          <w:color w:val="auto"/>
          <w:sz w:val="32"/>
          <w:szCs w:val="32"/>
        </w:rPr>
        <w:t>财政拨款收入：指单位从同级财政部门取得的财政预算资金。</w:t>
      </w:r>
    </w:p>
    <w:p w14:paraId="162D03EA" w14:textId="77777777" w:rsidR="009C4F3C" w:rsidRDefault="00EF39FE">
      <w:pPr>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一般公共服务（类）…（款）…（项）：指……。</w:t>
      </w:r>
    </w:p>
    <w:p w14:paraId="57FBF3D6" w14:textId="77777777" w:rsidR="009C4F3C" w:rsidRDefault="00EF39FE">
      <w:pPr>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Pr>
          <w:rFonts w:ascii="仿宋_GB2312" w:eastAsia="仿宋_GB2312" w:hint="eastAsia"/>
          <w:sz w:val="32"/>
          <w:szCs w:val="32"/>
        </w:rPr>
        <w:t>卫生健康（类）…（款）…（项）：指……。</w:t>
      </w:r>
    </w:p>
    <w:p w14:paraId="77C62BAF" w14:textId="77777777" w:rsidR="009C4F3C" w:rsidRDefault="00EF39FE">
      <w:pPr>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w:t>
      </w:r>
      <w:r>
        <w:rPr>
          <w:rFonts w:ascii="仿宋_GB2312" w:eastAsia="仿宋_GB2312" w:hint="eastAsia"/>
          <w:sz w:val="32"/>
          <w:szCs w:val="32"/>
        </w:rPr>
        <w:t>基本支出：指为保障机构正常运转、完成日常工作任务而发生的人员支出和公用支出。</w:t>
      </w:r>
    </w:p>
    <w:p w14:paraId="0886DBB4" w14:textId="77777777" w:rsidR="009C4F3C" w:rsidRDefault="00EF39FE">
      <w:pPr>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sz w:val="32"/>
          <w:szCs w:val="32"/>
        </w:rPr>
        <w:t>.</w:t>
      </w:r>
      <w:r>
        <w:rPr>
          <w:rFonts w:ascii="仿宋_GB2312" w:eastAsia="仿宋_GB2312" w:hint="eastAsia"/>
          <w:sz w:val="32"/>
          <w:szCs w:val="32"/>
        </w:rPr>
        <w:t>项目支出：指在基本支出之外为完成特定行政任务和事业发展目标所发生的支出。</w:t>
      </w:r>
    </w:p>
    <w:p w14:paraId="38A73712" w14:textId="77777777" w:rsidR="009C4F3C" w:rsidRDefault="00EF39FE">
      <w:pPr>
        <w:pStyle w:val="Default"/>
        <w:spacing w:line="560" w:lineRule="exact"/>
        <w:ind w:firstLineChars="200" w:firstLine="640"/>
        <w:rPr>
          <w:rFonts w:ascii="仿宋_GB2312" w:eastAsia="仿宋_GB2312"/>
          <w:color w:val="auto"/>
          <w:sz w:val="32"/>
          <w:szCs w:val="32"/>
        </w:rPr>
      </w:pPr>
      <w:r>
        <w:rPr>
          <w:rFonts w:ascii="仿宋_GB2312" w:eastAsia="仿宋_GB2312" w:hint="eastAsia"/>
          <w:color w:val="auto"/>
          <w:sz w:val="32"/>
          <w:szCs w:val="32"/>
        </w:rPr>
        <w:t>6</w:t>
      </w:r>
      <w:r>
        <w:rPr>
          <w:rFonts w:ascii="仿宋_GB2312" w:eastAsia="仿宋_GB2312"/>
          <w:color w:val="auto"/>
          <w:sz w:val="32"/>
          <w:szCs w:val="32"/>
        </w:rPr>
        <w:t>.</w:t>
      </w:r>
      <w:r>
        <w:rPr>
          <w:rFonts w:ascii="仿宋_GB2312" w:eastAsia="仿宋_GB2312" w:hint="eastAsia"/>
          <w:color w:val="auto"/>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w:t>
      </w:r>
      <w:r>
        <w:rPr>
          <w:rFonts w:ascii="仿宋_GB2312" w:eastAsia="仿宋_GB2312" w:hint="eastAsia"/>
          <w:color w:val="auto"/>
          <w:sz w:val="32"/>
          <w:szCs w:val="32"/>
        </w:rPr>
        <w:lastRenderedPageBreak/>
        <w:t>位按规定开支的各类公务接待（含外宾接待）支出。</w:t>
      </w:r>
    </w:p>
    <w:p w14:paraId="01F88D9A" w14:textId="77777777" w:rsidR="009C4F3C" w:rsidRDefault="009C4F3C">
      <w:pPr>
        <w:spacing w:line="600" w:lineRule="exact"/>
        <w:outlineLvl w:val="0"/>
        <w:rPr>
          <w:rStyle w:val="1Char"/>
          <w:rFonts w:ascii="黑体" w:eastAsia="黑体" w:hAnsi="黑体" w:hint="eastAsia"/>
          <w:b w:val="0"/>
        </w:rPr>
      </w:pPr>
    </w:p>
    <w:p w14:paraId="375CFB2D" w14:textId="77777777" w:rsidR="009C4F3C" w:rsidRDefault="009C4F3C">
      <w:pPr>
        <w:pStyle w:val="Default"/>
      </w:pPr>
    </w:p>
    <w:p w14:paraId="051CC9F7" w14:textId="77777777" w:rsidR="009C4F3C" w:rsidRDefault="00EF39FE">
      <w:pPr>
        <w:spacing w:line="600" w:lineRule="exact"/>
        <w:jc w:val="center"/>
        <w:outlineLvl w:val="0"/>
        <w:rPr>
          <w:rStyle w:val="10"/>
          <w:rFonts w:ascii="黑体" w:eastAsia="黑体" w:hAnsi="黑体" w:hint="eastAsia"/>
          <w:b w:val="0"/>
        </w:rPr>
      </w:pPr>
      <w:bookmarkStart w:id="53" w:name="_Toc15738"/>
      <w:r>
        <w:rPr>
          <w:rFonts w:ascii="黑体" w:eastAsia="黑体" w:hAnsi="黑体" w:hint="eastAsia"/>
          <w:sz w:val="44"/>
          <w:szCs w:val="44"/>
        </w:rPr>
        <w:t>第</w:t>
      </w:r>
      <w:r>
        <w:rPr>
          <w:rStyle w:val="10"/>
          <w:rFonts w:ascii="黑体" w:eastAsia="黑体" w:hAnsi="黑体" w:hint="eastAsia"/>
          <w:b w:val="0"/>
        </w:rPr>
        <w:t>四部分 附件</w:t>
      </w:r>
      <w:bookmarkEnd w:id="53"/>
    </w:p>
    <w:p w14:paraId="3C7CC054" w14:textId="77777777" w:rsidR="009C4F3C" w:rsidRDefault="00EF39FE">
      <w:pPr>
        <w:spacing w:line="572" w:lineRule="exact"/>
        <w:jc w:val="left"/>
        <w:outlineLvl w:val="0"/>
        <w:rPr>
          <w:rFonts w:ascii="方正小标宋简体" w:eastAsia="方正小标宋简体" w:hAnsi="方正小标宋简体" w:cs="方正小标宋简体" w:hint="eastAsia"/>
          <w:sz w:val="44"/>
          <w:szCs w:val="44"/>
        </w:rPr>
      </w:pPr>
      <w:bookmarkStart w:id="54" w:name="_Toc27692"/>
      <w:r>
        <w:rPr>
          <w:rFonts w:ascii="黑体" w:eastAsia="黑体" w:hAnsi="黑体" w:cs="黑体" w:hint="eastAsia"/>
          <w:sz w:val="32"/>
          <w:szCs w:val="32"/>
        </w:rPr>
        <w:t>附件</w:t>
      </w:r>
      <w:bookmarkEnd w:id="54"/>
    </w:p>
    <w:p w14:paraId="18EB27D1" w14:textId="77777777" w:rsidR="009C4F3C" w:rsidRDefault="00EF39FE">
      <w:pPr>
        <w:widowControl/>
        <w:spacing w:line="560" w:lineRule="exact"/>
        <w:contextualSpacing/>
        <w:jc w:val="center"/>
        <w:rPr>
          <w:rFonts w:ascii="方正小标宋简体" w:eastAsia="方正小标宋简体" w:hAnsi="方正小标宋简体" w:cs="方正小标宋简体" w:hint="eastAsia"/>
          <w:bCs/>
          <w:snapToGrid w:val="0"/>
          <w:sz w:val="44"/>
          <w:szCs w:val="44"/>
          <w:shd w:val="clear" w:color="auto" w:fill="FFFFFF"/>
        </w:rPr>
      </w:pPr>
      <w:r>
        <w:rPr>
          <w:rFonts w:ascii="方正小标宋简体" w:eastAsia="方正小标宋简体" w:hAnsi="方正小标宋简体" w:cs="方正小标宋简体" w:hint="eastAsia"/>
          <w:bCs/>
          <w:snapToGrid w:val="0"/>
          <w:sz w:val="44"/>
          <w:szCs w:val="44"/>
          <w:shd w:val="clear" w:color="auto" w:fill="FFFFFF"/>
        </w:rPr>
        <w:t>四川省人民政府科学城办事处</w:t>
      </w:r>
    </w:p>
    <w:p w14:paraId="1063337A" w14:textId="77777777" w:rsidR="009C4F3C" w:rsidRDefault="00EF39FE">
      <w:pPr>
        <w:widowControl/>
        <w:spacing w:line="560" w:lineRule="exact"/>
        <w:contextualSpacing/>
        <w:jc w:val="center"/>
        <w:rPr>
          <w:rFonts w:ascii="方正小标宋简体" w:eastAsia="方正小标宋简体" w:hAnsi="方正小标宋简体" w:cs="方正小标宋简体" w:hint="eastAsia"/>
          <w:bCs/>
          <w:snapToGrid w:val="0"/>
          <w:sz w:val="44"/>
          <w:szCs w:val="44"/>
          <w:shd w:val="clear" w:color="auto" w:fill="FFFFFF"/>
        </w:rPr>
      </w:pPr>
      <w:r>
        <w:rPr>
          <w:rFonts w:ascii="方正小标宋简体" w:eastAsia="方正小标宋简体" w:hAnsi="方正小标宋简体" w:cs="方正小标宋简体" w:hint="eastAsia"/>
          <w:bCs/>
          <w:snapToGrid w:val="0"/>
          <w:sz w:val="44"/>
          <w:szCs w:val="44"/>
          <w:shd w:val="clear" w:color="auto" w:fill="FFFFFF"/>
        </w:rPr>
        <w:t>2024年省级部门整体绩效自评报告</w:t>
      </w:r>
    </w:p>
    <w:p w14:paraId="48BA8BCA" w14:textId="77777777" w:rsidR="009C4F3C" w:rsidRDefault="009C4F3C">
      <w:pPr>
        <w:widowControl/>
        <w:adjustRightInd w:val="0"/>
        <w:snapToGrid w:val="0"/>
        <w:spacing w:line="560" w:lineRule="exact"/>
        <w:ind w:firstLineChars="200" w:firstLine="880"/>
        <w:contextualSpacing/>
        <w:jc w:val="left"/>
        <w:rPr>
          <w:rFonts w:ascii="方正小标宋简体" w:eastAsia="方正小标宋简体" w:hAnsi="方正小标宋简体" w:cs="方正小标宋简体" w:hint="eastAsia"/>
          <w:bCs/>
          <w:snapToGrid w:val="0"/>
          <w:color w:val="000000"/>
          <w:kern w:val="0"/>
          <w:sz w:val="44"/>
          <w:szCs w:val="44"/>
          <w:shd w:val="clear" w:color="auto" w:fill="FFFFFF"/>
        </w:rPr>
      </w:pPr>
    </w:p>
    <w:p w14:paraId="37918E43" w14:textId="77777777" w:rsidR="009C4F3C" w:rsidRDefault="00EF39FE">
      <w:pPr>
        <w:widowControl/>
        <w:numPr>
          <w:ilvl w:val="0"/>
          <w:numId w:val="6"/>
        </w:numPr>
        <w:adjustRightInd w:val="0"/>
        <w:snapToGrid w:val="0"/>
        <w:spacing w:line="560" w:lineRule="exact"/>
        <w:ind w:firstLineChars="193" w:firstLine="618"/>
        <w:contextualSpacing/>
        <w:jc w:val="left"/>
        <w:rPr>
          <w:rFonts w:ascii="黑体" w:eastAsia="黑体" w:hAnsi="宋体" w:cs="宋体" w:hint="eastAsia"/>
          <w:snapToGrid w:val="0"/>
          <w:color w:val="000000"/>
          <w:kern w:val="0"/>
          <w:sz w:val="32"/>
          <w:szCs w:val="32"/>
          <w:shd w:val="clear" w:color="auto" w:fill="FFFFFF"/>
          <w:lang w:val="zh-CN"/>
        </w:rPr>
      </w:pPr>
      <w:r>
        <w:rPr>
          <w:rFonts w:ascii="黑体" w:eastAsia="黑体" w:hAnsi="宋体" w:cs="宋体" w:hint="eastAsia"/>
          <w:snapToGrid w:val="0"/>
          <w:color w:val="000000"/>
          <w:kern w:val="0"/>
          <w:sz w:val="32"/>
          <w:szCs w:val="32"/>
          <w:shd w:val="clear" w:color="auto" w:fill="FFFFFF"/>
          <w:lang w:val="zh-CN"/>
        </w:rPr>
        <w:t>部门（单位）基本情况</w:t>
      </w:r>
    </w:p>
    <w:p w14:paraId="660B7DEC" w14:textId="77777777" w:rsidR="009C4F3C" w:rsidRDefault="00EF39FE">
      <w:pPr>
        <w:widowControl/>
        <w:adjustRightInd w:val="0"/>
        <w:snapToGrid w:val="0"/>
        <w:spacing w:line="560" w:lineRule="exact"/>
        <w:ind w:firstLineChars="200" w:firstLine="640"/>
        <w:contextualSpacing/>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1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sz w:val="32"/>
          <w:szCs w:val="32"/>
        </w:rPr>
        <w:t>㈠</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机构组成</w:t>
      </w:r>
    </w:p>
    <w:p w14:paraId="61EAC1EA" w14:textId="77777777" w:rsidR="009C4F3C" w:rsidRDefault="00EF39FE">
      <w:pPr>
        <w:widowControl/>
        <w:adjustRightInd w:val="0"/>
        <w:snapToGrid w:val="0"/>
        <w:spacing w:line="560" w:lineRule="exact"/>
        <w:ind w:firstLineChars="193" w:firstLine="618"/>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根据《四川省人民政府办公厅关于四川省人民政府科学城办事处机构设置和职能配置的通知》（川办函〔2006〕61号）及《四川省人民政府办公厅关于四川省人民政府科学城办事处主要职责和机构设置的通知》（川办函〔2015〕42号）精神，四川省人民政府科学城办事处为省政府的派出机构，与中国工程物理研究院（以下简称中物院）公共事务管理部一个机构两块牌子。</w:t>
      </w:r>
    </w:p>
    <w:p w14:paraId="061E1F87" w14:textId="77777777" w:rsidR="009C4F3C" w:rsidRDefault="00EF39FE">
      <w:pPr>
        <w:widowControl/>
        <w:adjustRightInd w:val="0"/>
        <w:snapToGrid w:val="0"/>
        <w:spacing w:line="560" w:lineRule="exact"/>
        <w:ind w:firstLineChars="193" w:firstLine="618"/>
        <w:jc w:val="left"/>
        <w:rPr>
          <w:rFonts w:ascii="仿宋_GB2312" w:eastAsia="仿宋_GB2312" w:hAnsi="仿宋" w:cs="宋体" w:hint="eastAsia"/>
          <w:snapToGrid w:val="0"/>
          <w:kern w:val="0"/>
          <w:szCs w:val="32"/>
          <w:shd w:val="clear" w:color="auto" w:fill="FFFFFF"/>
        </w:rPr>
      </w:pPr>
      <w:r>
        <w:rPr>
          <w:rFonts w:ascii="仿宋_GB2312" w:eastAsia="仿宋_GB2312" w:hAnsi="仿宋_GB2312" w:cs="仿宋_GB2312" w:hint="eastAsia"/>
          <w:snapToGrid w:val="0"/>
          <w:kern w:val="0"/>
          <w:sz w:val="32"/>
          <w:szCs w:val="32"/>
          <w:shd w:val="clear" w:color="auto" w:fill="FFFFFF"/>
        </w:rPr>
        <w:t>根据《关于调整优化四川省人民政府科学城办事处党政机构的批复》（川编办发〔2022〕116号），调整后截止2023年末，省人民政府科学城办事处共设置党委议事协调机构4个、党委机构6个、职能机构22个、挂牌机构9个。</w:t>
      </w:r>
    </w:p>
    <w:p w14:paraId="4CAC38A3" w14:textId="77777777" w:rsidR="009C4F3C" w:rsidRDefault="00EF39FE">
      <w:pPr>
        <w:widowControl/>
        <w:adjustRightInd w:val="0"/>
        <w:snapToGrid w:val="0"/>
        <w:spacing w:line="560" w:lineRule="exact"/>
        <w:ind w:firstLineChars="193" w:firstLine="618"/>
        <w:contextualSpacing/>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2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㈡</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机构职能和人员概况</w:t>
      </w:r>
    </w:p>
    <w:p w14:paraId="0605A0B5" w14:textId="77777777" w:rsidR="009C4F3C" w:rsidRDefault="00EF39FE">
      <w:pPr>
        <w:widowControl/>
        <w:adjustRightInd w:val="0"/>
        <w:snapToGrid w:val="0"/>
        <w:spacing w:line="560" w:lineRule="exact"/>
        <w:ind w:firstLineChars="193" w:firstLine="618"/>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lastRenderedPageBreak/>
        <w:t>主要职能是：贯彻执行国家的法律、法规和方针政策；省政府授权其负责中物院在川征地范围内的行政管理和行政执法工作；承办省政府交办的其他事项。</w:t>
      </w:r>
    </w:p>
    <w:p w14:paraId="20F2EAEA" w14:textId="77777777" w:rsidR="009C4F3C" w:rsidRDefault="00EF39FE">
      <w:pPr>
        <w:widowControl/>
        <w:adjustRightInd w:val="0"/>
        <w:snapToGrid w:val="0"/>
        <w:spacing w:line="560" w:lineRule="exact"/>
        <w:ind w:firstLineChars="193" w:firstLine="618"/>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人员概况是：根据省政府办公厅《关于四川省人民政府科学城办事处主要职责和机构设置的通知》（川办函〔2015〕42号）下达的编制数380人，年末实有人数380人，当年未发生变动。</w:t>
      </w:r>
    </w:p>
    <w:p w14:paraId="222ADE76" w14:textId="77777777" w:rsidR="009C4F3C" w:rsidRDefault="00EF39FE">
      <w:pPr>
        <w:widowControl/>
        <w:adjustRightInd w:val="0"/>
        <w:snapToGrid w:val="0"/>
        <w:spacing w:line="560" w:lineRule="exact"/>
        <w:ind w:firstLineChars="193" w:firstLine="618"/>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3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㈢</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年度主要工作任务</w:t>
      </w:r>
    </w:p>
    <w:p w14:paraId="61A52B55" w14:textId="77777777" w:rsidR="009C4F3C" w:rsidRDefault="00EF39FE">
      <w:pPr>
        <w:widowControl/>
        <w:adjustRightInd w:val="0"/>
        <w:snapToGrid w:val="0"/>
        <w:spacing w:line="560" w:lineRule="exact"/>
        <w:ind w:firstLineChars="193" w:firstLine="618"/>
        <w:jc w:val="left"/>
        <w:rPr>
          <w:rFonts w:ascii="仿宋_GB2312" w:eastAsia="仿宋_GB2312" w:hAnsi="仿宋_GB2312" w:cs="仿宋_GB2312" w:hint="eastAsia"/>
          <w:snapToGrid w:val="0"/>
          <w:color w:val="000000"/>
          <w:kern w:val="0"/>
          <w:sz w:val="32"/>
          <w:szCs w:val="32"/>
          <w:shd w:val="clear" w:color="auto" w:fill="FFFFFF"/>
          <w:lang w:val="zh-CN"/>
        </w:rPr>
      </w:pPr>
      <w:r>
        <w:rPr>
          <w:rFonts w:ascii="仿宋_GB2312" w:eastAsia="仿宋_GB2312" w:hAnsi="仿宋_GB2312" w:cs="仿宋_GB2312" w:hint="eastAsia"/>
          <w:snapToGrid w:val="0"/>
          <w:color w:val="000000"/>
          <w:kern w:val="0"/>
          <w:sz w:val="32"/>
          <w:szCs w:val="32"/>
          <w:shd w:val="clear" w:color="auto" w:fill="FFFFFF"/>
        </w:rPr>
        <w:t>2023年省人民政府科学城办事处</w:t>
      </w:r>
      <w:r>
        <w:rPr>
          <w:rFonts w:ascii="仿宋_GB2312" w:eastAsia="仿宋_GB2312" w:hAnsi="仿宋_GB2312" w:cs="仿宋_GB2312" w:hint="eastAsia"/>
          <w:snapToGrid w:val="0"/>
          <w:color w:val="000000"/>
          <w:kern w:val="0"/>
          <w:sz w:val="32"/>
          <w:szCs w:val="32"/>
          <w:shd w:val="clear" w:color="auto" w:fill="FFFFFF"/>
          <w:lang w:val="zh-CN"/>
        </w:rPr>
        <w:t>坚持以习近平新时代中国特色社会主义思想为指导，全面学习贯彻党的十九大和十九届历次全会精神，深入贯彻落实习近平总书记对院重要指示，认真落实院党委九届三次全会精神和院工作报告部署要求，牢记“两个确立”，增强“四个意识”、坚定“四个自信”、做到“两个维护”，紧紧围绕“服务国防科研生产、保障职工民生福祉”，沿着科办（公管部）第八次党代会明确的“十四五”发展方向与路径，以改革创新为动力，以能力建设为抓手，以满足院事业发展和职工居民对高质量公共服务需求为目标，统筹推进改革发展、科研保障、民生保障、城市建管、政务服务、行政执法、疫情防控、扶贫帮扶各方面工作，扎实推进“幸福平安美丽”科学城建设，以优异成绩迎接党的二十大和四川省第十二次党代会胜利召开。重点做了以下七个方面工作：</w:t>
      </w:r>
    </w:p>
    <w:p w14:paraId="187C4D40" w14:textId="77777777" w:rsidR="009C4F3C" w:rsidRDefault="00EF39FE">
      <w:pPr>
        <w:widowControl/>
        <w:adjustRightInd w:val="0"/>
        <w:snapToGrid w:val="0"/>
        <w:spacing w:line="560" w:lineRule="exact"/>
        <w:ind w:firstLineChars="193" w:firstLine="618"/>
        <w:jc w:val="left"/>
        <w:rPr>
          <w:rFonts w:ascii="仿宋_GB2312" w:eastAsia="仿宋_GB2312" w:hAnsi="仿宋_GB2312" w:cs="仿宋_GB2312" w:hint="eastAsia"/>
          <w:snapToGrid w:val="0"/>
          <w:color w:val="000000"/>
          <w:kern w:val="0"/>
          <w:sz w:val="32"/>
          <w:szCs w:val="32"/>
          <w:shd w:val="clear" w:color="auto" w:fill="FFFFFF"/>
          <w:lang w:val="zh-CN"/>
        </w:rPr>
      </w:pPr>
      <w:r>
        <w:rPr>
          <w:rFonts w:ascii="仿宋_GB2312" w:eastAsia="仿宋_GB2312" w:hAnsi="仿宋_GB2312" w:cs="仿宋_GB2312" w:hint="eastAsia"/>
          <w:snapToGrid w:val="0"/>
          <w:color w:val="000000"/>
          <w:kern w:val="0"/>
          <w:sz w:val="32"/>
          <w:szCs w:val="32"/>
          <w:shd w:val="clear" w:color="auto" w:fill="FFFFFF"/>
          <w:lang w:val="zh-CN"/>
        </w:rPr>
        <w:t>一是着力深化改革创新，推动构建精简高效的管理体制机制；二是着力保障科研生产，筑牢院事业发展安全屏障；三是着力保</w:t>
      </w:r>
      <w:r>
        <w:rPr>
          <w:rFonts w:ascii="仿宋_GB2312" w:eastAsia="仿宋_GB2312" w:hAnsi="仿宋_GB2312" w:cs="仿宋_GB2312" w:hint="eastAsia"/>
          <w:snapToGrid w:val="0"/>
          <w:color w:val="000000"/>
          <w:kern w:val="0"/>
          <w:sz w:val="32"/>
          <w:szCs w:val="32"/>
          <w:shd w:val="clear" w:color="auto" w:fill="FFFFFF"/>
          <w:lang w:val="zh-CN"/>
        </w:rPr>
        <w:lastRenderedPageBreak/>
        <w:t>障职工民生，努力提升职工居民获得感和满意度进一步提升教育医疗水平，进一步加大职工民生保障力度，进一步发展文化事业，进一步优化城市建设与管理，进一步巩固平安科学城建设成果；四是着力强化公共资产和住宅小区管理，增强全面服务保障院事业发展能力；五是着力推进乡村振兴，推动院帮扶工作上台阶开新局；六是着力加强自身建设，系统提升管理能力和服务水平；七是着力加强党的建设，持续推动“以党的建设带动各方面工作”取得新成效。</w:t>
      </w:r>
    </w:p>
    <w:p w14:paraId="73AC3CE8" w14:textId="77777777" w:rsidR="009C4F3C" w:rsidRDefault="00EF39FE">
      <w:pPr>
        <w:widowControl/>
        <w:adjustRightInd w:val="0"/>
        <w:snapToGrid w:val="0"/>
        <w:spacing w:line="560" w:lineRule="exact"/>
        <w:ind w:firstLineChars="193" w:firstLine="618"/>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4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㈣</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部门整体支出绩效目标</w:t>
      </w:r>
    </w:p>
    <w:p w14:paraId="31A97403" w14:textId="77777777" w:rsidR="009C4F3C" w:rsidRDefault="00EF39FE">
      <w:pPr>
        <w:widowControl/>
        <w:adjustRightInd w:val="0"/>
        <w:snapToGrid w:val="0"/>
        <w:spacing w:line="560" w:lineRule="exact"/>
        <w:ind w:firstLineChars="193" w:firstLine="618"/>
        <w:jc w:val="left"/>
        <w:rPr>
          <w:rFonts w:ascii="仿宋_GB2312" w:eastAsia="仿宋_GB2312" w:hAnsi="仿宋_GB2312" w:cs="仿宋_GB2312" w:hint="eastAsia"/>
          <w:snapToGrid w:val="0"/>
          <w:color w:val="000000"/>
          <w:kern w:val="0"/>
          <w:sz w:val="32"/>
          <w:szCs w:val="32"/>
          <w:shd w:val="clear" w:color="auto" w:fill="FFFFFF"/>
          <w:lang w:val="zh-CN"/>
        </w:rPr>
      </w:pPr>
      <w:r>
        <w:rPr>
          <w:rFonts w:ascii="仿宋_GB2312" w:eastAsia="仿宋_GB2312" w:hAnsi="仿宋_GB2312" w:cs="仿宋_GB2312" w:hint="eastAsia"/>
          <w:snapToGrid w:val="0"/>
          <w:color w:val="000000"/>
          <w:kern w:val="0"/>
          <w:sz w:val="32"/>
          <w:szCs w:val="32"/>
          <w:shd w:val="clear" w:color="auto" w:fill="FFFFFF"/>
          <w:lang w:val="zh-CN"/>
        </w:rPr>
        <w:t>完善政府职能，进一步提升行政效能，提高行政执法水平，推进政务服务标准化中心建设，保证平安科学城建设的稳步持续推进；促进公共服务与社会管理能力不断提升，民生、文化教育、公共卫生事业不断发展，市场经济秩序规范化建设，城市环境卫生不断优化，开展社区标准化、制度化、信息化建设，提升社区自治和服务水平，打造“一居一特色”具有科学城文化特点的和谐社区。</w:t>
      </w:r>
    </w:p>
    <w:p w14:paraId="4CD467F0" w14:textId="77777777" w:rsidR="009C4F3C" w:rsidRDefault="00EF39FE">
      <w:pPr>
        <w:widowControl/>
        <w:adjustRightInd w:val="0"/>
        <w:snapToGrid w:val="0"/>
        <w:spacing w:line="560" w:lineRule="exact"/>
        <w:ind w:firstLineChars="193" w:firstLine="618"/>
        <w:contextualSpacing/>
        <w:jc w:val="left"/>
        <w:rPr>
          <w:rFonts w:ascii="黑体" w:eastAsia="黑体" w:hAnsi="宋体" w:cs="宋体" w:hint="eastAsia"/>
          <w:snapToGrid w:val="0"/>
          <w:color w:val="000000"/>
          <w:kern w:val="0"/>
          <w:sz w:val="32"/>
          <w:szCs w:val="32"/>
          <w:shd w:val="clear" w:color="auto" w:fill="FFFFFF"/>
        </w:rPr>
      </w:pPr>
      <w:r>
        <w:rPr>
          <w:rFonts w:ascii="黑体" w:eastAsia="黑体" w:hAnsi="宋体" w:cs="宋体" w:hint="eastAsia"/>
          <w:snapToGrid w:val="0"/>
          <w:color w:val="000000"/>
          <w:kern w:val="0"/>
          <w:sz w:val="32"/>
          <w:szCs w:val="32"/>
          <w:shd w:val="clear" w:color="auto" w:fill="FFFFFF"/>
        </w:rPr>
        <w:t>二、部门资金收支情况</w:t>
      </w:r>
    </w:p>
    <w:p w14:paraId="0BA43BA8" w14:textId="77777777" w:rsidR="009C4F3C" w:rsidRDefault="00EF39FE">
      <w:pPr>
        <w:widowControl/>
        <w:adjustRightInd w:val="0"/>
        <w:snapToGrid w:val="0"/>
        <w:spacing w:line="560" w:lineRule="exact"/>
        <w:ind w:firstLineChars="193" w:firstLine="618"/>
        <w:contextualSpacing/>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1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㈠</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部门总体收支情况</w:t>
      </w:r>
    </w:p>
    <w:p w14:paraId="36914ADD"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1.部门总体收入情况</w:t>
      </w:r>
    </w:p>
    <w:p w14:paraId="7EF1C7EA"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2023年度本部门年初预算数为1430.22万元，调整后预算数为1532.32万元，因此部门总体收入为1532.32万元。</w:t>
      </w:r>
    </w:p>
    <w:p w14:paraId="1C8F4EBA"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2.部门总体支出情况</w:t>
      </w:r>
    </w:p>
    <w:p w14:paraId="40CBECA5" w14:textId="77777777" w:rsidR="009C4F3C" w:rsidRDefault="00EF39FE">
      <w:pPr>
        <w:widowControl/>
        <w:adjustRightInd w:val="0"/>
        <w:snapToGrid w:val="0"/>
        <w:spacing w:line="560" w:lineRule="exact"/>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lastRenderedPageBreak/>
        <w:t xml:space="preserve">    2023年部门总体支出为1532.32万元，省拨资金主要用于补助本部门的行政运行经费。其中用于日常办公、业务活动等方面的基本支出（非定额公用经费）比率20.30%，用于保障辖区行政管理、公共事务运行等项目支出比率79.70%，且上述支出的经济事项均为商品和服务类支出。在支出的功能分类中，主要用于一般公共服务支出，占比高达98%。</w:t>
      </w:r>
    </w:p>
    <w:p w14:paraId="6A423CD2" w14:textId="77777777" w:rsidR="009C4F3C" w:rsidRDefault="00EF39FE">
      <w:pPr>
        <w:widowControl/>
        <w:adjustRightInd w:val="0"/>
        <w:snapToGrid w:val="0"/>
        <w:spacing w:line="560" w:lineRule="exact"/>
        <w:ind w:left="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3.部门总体结转结余情况</w:t>
      </w:r>
    </w:p>
    <w:p w14:paraId="0A243E0D" w14:textId="77777777" w:rsidR="009C4F3C" w:rsidRDefault="00EF39FE">
      <w:pPr>
        <w:widowControl/>
        <w:adjustRightInd w:val="0"/>
        <w:snapToGrid w:val="0"/>
        <w:spacing w:line="560" w:lineRule="exact"/>
        <w:ind w:left="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snapToGrid w:val="0"/>
          <w:kern w:val="0"/>
          <w:sz w:val="32"/>
          <w:szCs w:val="32"/>
          <w:shd w:val="clear" w:color="auto" w:fill="FFFFFF"/>
        </w:rPr>
        <w:t>年末各项收支无结转和结余。</w:t>
      </w:r>
    </w:p>
    <w:p w14:paraId="2B6D3292" w14:textId="77777777" w:rsidR="009C4F3C" w:rsidRDefault="00EF39FE">
      <w:pPr>
        <w:widowControl/>
        <w:adjustRightInd w:val="0"/>
        <w:snapToGrid w:val="0"/>
        <w:spacing w:line="560" w:lineRule="exact"/>
        <w:ind w:firstLineChars="193" w:firstLine="618"/>
        <w:contextualSpacing/>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2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㈡</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部门财政拨款收支情况</w:t>
      </w:r>
    </w:p>
    <w:p w14:paraId="1739C736"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1.部门财政拨款收入情况</w:t>
      </w:r>
    </w:p>
    <w:p w14:paraId="1E9C10A0"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highlight w:val="yellow"/>
          <w:shd w:val="clear" w:color="auto" w:fill="FFFFFF"/>
        </w:rPr>
      </w:pPr>
      <w:r>
        <w:rPr>
          <w:rFonts w:ascii="仿宋_GB2312" w:eastAsia="仿宋_GB2312" w:hAnsi="仿宋_GB2312" w:cs="仿宋_GB2312" w:hint="eastAsia"/>
          <w:snapToGrid w:val="0"/>
          <w:kern w:val="0"/>
          <w:sz w:val="32"/>
          <w:szCs w:val="32"/>
          <w:shd w:val="clear" w:color="auto" w:fill="FFFFFF"/>
        </w:rPr>
        <w:t>2023年度共收到财政拨款收入1532.32万元。</w:t>
      </w:r>
    </w:p>
    <w:p w14:paraId="643691D4"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2.部门财政拨款支出情况</w:t>
      </w:r>
    </w:p>
    <w:p w14:paraId="1C856BB4" w14:textId="77777777" w:rsidR="009C4F3C" w:rsidRDefault="00EF39FE">
      <w:pPr>
        <w:widowControl/>
        <w:adjustRightInd w:val="0"/>
        <w:snapToGrid w:val="0"/>
        <w:spacing w:line="560" w:lineRule="exact"/>
        <w:ind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2023年度财政拨款支出1532.32万元，其中基本支出（非定额公用经费）311.00万元，项目支出1221.32万元。</w:t>
      </w:r>
    </w:p>
    <w:p w14:paraId="45818B44"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⑴基本支出（非定额公用经费）311万元，具体构成如下：</w:t>
      </w:r>
    </w:p>
    <w:p w14:paraId="15C8965C"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A.物业管理费支出合计金额44万元，与2022年持平。主要用于2万余平米办公及业务用房的物业管理、保洁等费用。</w:t>
      </w:r>
    </w:p>
    <w:p w14:paraId="4B3CF50E"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B.差旅费支出合计金额93.40万元，较2022年减少19.60万元。主要用于在职人员因公出差发生的交通费和住宿费。</w:t>
      </w:r>
    </w:p>
    <w:p w14:paraId="7C91E550"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C.维修(护)费支出48万元，与2022年持平。主要用于现有的办公设施设备的维修维护费用。</w:t>
      </w:r>
    </w:p>
    <w:p w14:paraId="041715FE"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lastRenderedPageBreak/>
        <w:t>D.会议费支出7万元，与2022年持平。该项支出主要用于辖区税务、交通、民兵等会议所发生的场地租用、伙食、住宿费等费用。</w:t>
      </w:r>
    </w:p>
    <w:p w14:paraId="04B3625B"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E.公务接待费支出1.60万元，较2022年增加1.06万元。该项支出主要用于接待各职能部门、协作企业、社会团体用餐、交通等费用。</w:t>
      </w:r>
    </w:p>
    <w:p w14:paraId="70D0EF8F"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 xml:space="preserve"> F.公务用车运行维护费支出97万元，较2022年增加0.48万元。该支出主要用于22个职能局（委、办）部门公务用车的机要文件传递、参加省市会议、对接扶贫工作、武装押运等工作所需燃料费、维修费、保险费、过路过桥费等支出，以及车辆租赁等相关费用。</w:t>
      </w:r>
    </w:p>
    <w:p w14:paraId="1A832B20"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G.培训费支出20.00万元，2023年新增预算。主要用于支付给培训机构的费用。</w:t>
      </w:r>
    </w:p>
    <w:p w14:paraId="351A2CF0" w14:textId="77777777" w:rsidR="009C4F3C" w:rsidRDefault="00EF39FE">
      <w:pPr>
        <w:snapToGrid w:val="0"/>
        <w:spacing w:line="520" w:lineRule="exact"/>
        <w:ind w:firstLineChars="200" w:firstLine="643"/>
        <w:rPr>
          <w:rFonts w:ascii="CESI仿宋-GB2312" w:eastAsia="CESI仿宋-GB2312" w:hAnsi="CESI仿宋-GB2312" w:cs="CESI仿宋-GB2312" w:hint="eastAsia"/>
          <w:sz w:val="32"/>
          <w:szCs w:val="32"/>
        </w:rPr>
      </w:pPr>
      <w:r>
        <w:rPr>
          <w:rFonts w:ascii="CESI仿宋-GB2312" w:eastAsia="CESI仿宋-GB2312" w:hAnsi="CESI仿宋-GB2312" w:cs="CESI仿宋-GB2312" w:hint="eastAsia"/>
          <w:b/>
          <w:sz w:val="32"/>
          <w:szCs w:val="32"/>
        </w:rPr>
        <w:fldChar w:fldCharType="begin"/>
      </w:r>
      <w:r>
        <w:rPr>
          <w:rFonts w:ascii="CESI仿宋-GB2312" w:eastAsia="CESI仿宋-GB2312" w:hAnsi="CESI仿宋-GB2312" w:cs="CESI仿宋-GB2312" w:hint="eastAsia"/>
          <w:b/>
          <w:sz w:val="32"/>
          <w:szCs w:val="32"/>
        </w:rPr>
        <w:instrText xml:space="preserve"> = 2 \* GB2 \* MERGEFORMAT </w:instrText>
      </w:r>
      <w:r>
        <w:rPr>
          <w:rFonts w:ascii="CESI仿宋-GB2312" w:eastAsia="CESI仿宋-GB2312" w:hAnsi="CESI仿宋-GB2312" w:cs="CESI仿宋-GB2312" w:hint="eastAsia"/>
          <w:b/>
          <w:sz w:val="32"/>
          <w:szCs w:val="32"/>
        </w:rPr>
        <w:fldChar w:fldCharType="separate"/>
      </w:r>
      <w:r>
        <w:rPr>
          <w:rFonts w:ascii="CESI仿宋-GB2312" w:eastAsia="CESI仿宋-GB2312" w:hAnsi="CESI仿宋-GB2312" w:cs="CESI仿宋-GB2312" w:hint="eastAsia"/>
          <w:sz w:val="32"/>
          <w:szCs w:val="32"/>
        </w:rPr>
        <w:t>⑵</w:t>
      </w:r>
      <w:r>
        <w:rPr>
          <w:rFonts w:ascii="CESI仿宋-GB2312" w:eastAsia="CESI仿宋-GB2312" w:hAnsi="CESI仿宋-GB2312" w:cs="CESI仿宋-GB2312" w:hint="eastAsia"/>
          <w:b/>
          <w:sz w:val="32"/>
          <w:szCs w:val="32"/>
        </w:rPr>
        <w:fldChar w:fldCharType="end"/>
      </w:r>
      <w:r>
        <w:rPr>
          <w:rFonts w:ascii="CESI仿宋-GB2312" w:eastAsia="CESI仿宋-GB2312" w:hAnsi="CESI仿宋-GB2312" w:cs="CESI仿宋-GB2312" w:hint="eastAsia"/>
          <w:b/>
          <w:sz w:val="32"/>
          <w:szCs w:val="32"/>
        </w:rPr>
        <w:t>项目支出</w:t>
      </w:r>
      <w:r>
        <w:rPr>
          <w:rFonts w:ascii="CESI仿宋-GB2312" w:eastAsia="CESI仿宋-GB2312" w:hAnsi="CESI仿宋-GB2312" w:cs="CESI仿宋-GB2312" w:hint="eastAsia"/>
          <w:sz w:val="32"/>
          <w:szCs w:val="32"/>
        </w:rPr>
        <w:t>1221.32万元,具体构成如下：</w:t>
      </w:r>
    </w:p>
    <w:p w14:paraId="483AC383" w14:textId="77777777" w:rsidR="009C4F3C" w:rsidRDefault="00EF39FE">
      <w:pPr>
        <w:snapToGrid w:val="0"/>
        <w:spacing w:line="520" w:lineRule="exact"/>
        <w:ind w:firstLineChars="200" w:firstLine="643"/>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A.“维修（护）费”</w:t>
      </w:r>
      <w:r>
        <w:rPr>
          <w:rFonts w:ascii="CESI仿宋-GB2312" w:eastAsia="CESI仿宋-GB2312" w:hAnsi="CESI仿宋-GB2312" w:cs="CESI仿宋-GB2312" w:hint="eastAsia"/>
          <w:sz w:val="32"/>
          <w:szCs w:val="32"/>
        </w:rPr>
        <w:t>，2023年</w:t>
      </w:r>
      <w:r>
        <w:rPr>
          <w:rFonts w:ascii="CESI仿宋-GB2312" w:eastAsia="CESI仿宋-GB2312" w:hAnsi="CESI仿宋-GB2312" w:cs="CESI仿宋-GB2312" w:hint="eastAsia"/>
          <w:bCs/>
          <w:sz w:val="32"/>
          <w:szCs w:val="32"/>
        </w:rPr>
        <w:t>支出合计金额85万元。主要用于维修维护办公、业务用房和文化体育等公共设施。</w:t>
      </w:r>
    </w:p>
    <w:p w14:paraId="116B47A4" w14:textId="77777777" w:rsidR="009C4F3C" w:rsidRDefault="00EF39FE">
      <w:pPr>
        <w:snapToGrid w:val="0"/>
        <w:spacing w:line="520" w:lineRule="exact"/>
        <w:ind w:firstLineChars="200" w:firstLine="643"/>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B.“委托业务费</w:t>
      </w:r>
      <w:r>
        <w:rPr>
          <w:rFonts w:ascii="CESI仿宋-GB2312" w:eastAsia="CESI仿宋-GB2312" w:hAnsi="CESI仿宋-GB2312" w:cs="CESI仿宋-GB2312" w:hint="eastAsia"/>
          <w:bCs/>
          <w:sz w:val="32"/>
          <w:szCs w:val="32"/>
        </w:rPr>
        <w:t>”支出金额262.53万元。主要用于</w:t>
      </w:r>
      <w:r>
        <w:rPr>
          <w:rFonts w:ascii="CESI仿宋-GB2312" w:eastAsia="CESI仿宋-GB2312" w:hAnsi="CESI仿宋-GB2312" w:cs="CESI仿宋-GB2312" w:hint="eastAsia"/>
          <w:sz w:val="32"/>
          <w:szCs w:val="32"/>
        </w:rPr>
        <w:t>环保检测、天网维保、食品、药品安全监测、动物检疫等工作</w:t>
      </w:r>
      <w:r>
        <w:rPr>
          <w:rFonts w:ascii="CESI仿宋-GB2312" w:eastAsia="CESI仿宋-GB2312" w:hAnsi="CESI仿宋-GB2312" w:cs="CESI仿宋-GB2312" w:hint="eastAsia"/>
          <w:bCs/>
          <w:sz w:val="32"/>
          <w:szCs w:val="32"/>
        </w:rPr>
        <w:t>，以及维修维护办公、业务用房和文化体育等公共设施。</w:t>
      </w:r>
    </w:p>
    <w:p w14:paraId="5BA82A41" w14:textId="77777777" w:rsidR="009C4F3C" w:rsidRDefault="00EF39FE">
      <w:pPr>
        <w:snapToGrid w:val="0"/>
        <w:spacing w:line="520" w:lineRule="exact"/>
        <w:ind w:leftChars="304" w:left="638"/>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C.“其他商品和服务支出</w:t>
      </w:r>
      <w:r>
        <w:rPr>
          <w:rFonts w:ascii="CESI仿宋-GB2312" w:eastAsia="CESI仿宋-GB2312" w:hAnsi="CESI仿宋-GB2312" w:cs="CESI仿宋-GB2312" w:hint="eastAsia"/>
          <w:bCs/>
          <w:sz w:val="32"/>
          <w:szCs w:val="32"/>
        </w:rPr>
        <w:t>”项目支出金额220.00万元。</w:t>
      </w:r>
    </w:p>
    <w:p w14:paraId="5D69EAFC" w14:textId="77777777" w:rsidR="009C4F3C" w:rsidRDefault="00EF39FE">
      <w:pPr>
        <w:snapToGrid w:val="0"/>
        <w:spacing w:line="520" w:lineRule="exact"/>
        <w:ind w:leftChars="304" w:left="638"/>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D.“其他交通费用</w:t>
      </w:r>
      <w:r>
        <w:rPr>
          <w:rFonts w:ascii="CESI仿宋-GB2312" w:eastAsia="CESI仿宋-GB2312" w:hAnsi="CESI仿宋-GB2312" w:cs="CESI仿宋-GB2312" w:hint="eastAsia"/>
          <w:bCs/>
          <w:sz w:val="32"/>
          <w:szCs w:val="32"/>
        </w:rPr>
        <w:t>”</w:t>
      </w:r>
      <w:r>
        <w:rPr>
          <w:rFonts w:ascii="CESI仿宋-GB2312" w:eastAsia="CESI仿宋-GB2312" w:hAnsi="CESI仿宋-GB2312" w:cs="CESI仿宋-GB2312" w:hint="eastAsia"/>
          <w:sz w:val="32"/>
          <w:szCs w:val="32"/>
        </w:rPr>
        <w:t>，2022年</w:t>
      </w:r>
      <w:r>
        <w:rPr>
          <w:rFonts w:ascii="CESI仿宋-GB2312" w:eastAsia="CESI仿宋-GB2312" w:hAnsi="CESI仿宋-GB2312" w:cs="CESI仿宋-GB2312" w:hint="eastAsia"/>
          <w:bCs/>
          <w:sz w:val="32"/>
          <w:szCs w:val="32"/>
        </w:rPr>
        <w:t>支出合计金额53万元。</w:t>
      </w:r>
    </w:p>
    <w:p w14:paraId="4368AA8D" w14:textId="77777777" w:rsidR="009C4F3C" w:rsidRDefault="00EF39FE">
      <w:pPr>
        <w:snapToGrid w:val="0"/>
        <w:spacing w:line="520" w:lineRule="exact"/>
        <w:rPr>
          <w:rFonts w:ascii="CESI仿宋-GB2312" w:eastAsia="CESI仿宋-GB2312" w:hAnsi="CESI仿宋-GB2312" w:cs="CESI仿宋-GB2312" w:hint="eastAsia"/>
          <w:sz w:val="32"/>
          <w:szCs w:val="32"/>
        </w:rPr>
      </w:pPr>
      <w:r>
        <w:rPr>
          <w:rFonts w:ascii="CESI仿宋-GB2312" w:eastAsia="CESI仿宋-GB2312" w:hAnsi="CESI仿宋-GB2312" w:cs="CESI仿宋-GB2312" w:hint="eastAsia"/>
          <w:bCs/>
          <w:sz w:val="32"/>
          <w:szCs w:val="32"/>
        </w:rPr>
        <w:t>该经费用于公务用车租赁费。</w:t>
      </w:r>
    </w:p>
    <w:p w14:paraId="2163B75F" w14:textId="77777777" w:rsidR="009C4F3C" w:rsidRDefault="00EF39FE">
      <w:pPr>
        <w:snapToGrid w:val="0"/>
        <w:spacing w:line="520" w:lineRule="exact"/>
        <w:ind w:firstLineChars="200" w:firstLine="643"/>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E.“劳务费</w:t>
      </w:r>
      <w:r>
        <w:rPr>
          <w:rFonts w:ascii="CESI仿宋-GB2312" w:eastAsia="CESI仿宋-GB2312" w:hAnsi="CESI仿宋-GB2312" w:cs="CESI仿宋-GB2312" w:hint="eastAsia"/>
          <w:bCs/>
          <w:sz w:val="32"/>
          <w:szCs w:val="32"/>
        </w:rPr>
        <w:t>”项目支出金额340万元</w:t>
      </w:r>
      <w:r>
        <w:rPr>
          <w:rFonts w:ascii="CESI仿宋-GB2312" w:eastAsia="CESI仿宋-GB2312" w:hAnsi="CESI仿宋-GB2312" w:cs="CESI仿宋-GB2312" w:hint="eastAsia"/>
          <w:color w:val="000000"/>
          <w:sz w:val="32"/>
          <w:szCs w:val="32"/>
        </w:rPr>
        <w:t>。该项目</w:t>
      </w:r>
      <w:r>
        <w:rPr>
          <w:rFonts w:ascii="CESI仿宋-GB2312" w:eastAsia="CESI仿宋-GB2312" w:hAnsi="CESI仿宋-GB2312" w:cs="CESI仿宋-GB2312" w:hint="eastAsia"/>
          <w:bCs/>
          <w:sz w:val="32"/>
          <w:szCs w:val="32"/>
        </w:rPr>
        <w:t>主要用于社区</w:t>
      </w:r>
      <w:r>
        <w:rPr>
          <w:rFonts w:ascii="CESI仿宋-GB2312" w:eastAsia="CESI仿宋-GB2312" w:hAnsi="CESI仿宋-GB2312" w:cs="CESI仿宋-GB2312" w:hint="eastAsia"/>
          <w:bCs/>
          <w:sz w:val="32"/>
          <w:szCs w:val="32"/>
        </w:rPr>
        <w:lastRenderedPageBreak/>
        <w:t>运行、文化中心科技馆运行、保障中心运行等劳务人员的费用。</w:t>
      </w:r>
    </w:p>
    <w:p w14:paraId="097E6A51" w14:textId="77777777" w:rsidR="009C4F3C" w:rsidRDefault="00EF39FE">
      <w:pPr>
        <w:snapToGrid w:val="0"/>
        <w:spacing w:line="520" w:lineRule="exact"/>
        <w:ind w:firstLineChars="200" w:firstLine="643"/>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F.“专用材料费”</w:t>
      </w:r>
      <w:r>
        <w:rPr>
          <w:rFonts w:ascii="CESI仿宋-GB2312" w:eastAsia="CESI仿宋-GB2312" w:hAnsi="CESI仿宋-GB2312" w:cs="CESI仿宋-GB2312" w:hint="eastAsia"/>
          <w:bCs/>
          <w:sz w:val="32"/>
          <w:szCs w:val="32"/>
        </w:rPr>
        <w:t>项目支出金额5万元</w:t>
      </w:r>
      <w:r>
        <w:rPr>
          <w:rFonts w:ascii="CESI仿宋-GB2312" w:eastAsia="CESI仿宋-GB2312" w:hAnsi="CESI仿宋-GB2312" w:cs="CESI仿宋-GB2312" w:hint="eastAsia"/>
          <w:color w:val="000000"/>
          <w:sz w:val="32"/>
          <w:szCs w:val="32"/>
        </w:rPr>
        <w:t>。该项目</w:t>
      </w:r>
      <w:r>
        <w:rPr>
          <w:rFonts w:ascii="CESI仿宋-GB2312" w:eastAsia="CESI仿宋-GB2312" w:hAnsi="CESI仿宋-GB2312" w:cs="CESI仿宋-GB2312" w:hint="eastAsia"/>
          <w:bCs/>
          <w:sz w:val="32"/>
          <w:szCs w:val="32"/>
        </w:rPr>
        <w:t>主要用于食药监局检测食品所需的专用材料、抽检样品等费用及委托第三方的委托业务经费。</w:t>
      </w:r>
    </w:p>
    <w:p w14:paraId="51C15EBF" w14:textId="77777777" w:rsidR="009C4F3C" w:rsidRDefault="00EF39FE">
      <w:pPr>
        <w:snapToGrid w:val="0"/>
        <w:spacing w:line="520" w:lineRule="exact"/>
        <w:ind w:firstLineChars="200" w:firstLine="643"/>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G.“电费”</w:t>
      </w:r>
      <w:r>
        <w:rPr>
          <w:rFonts w:ascii="CESI仿宋-GB2312" w:eastAsia="CESI仿宋-GB2312" w:hAnsi="CESI仿宋-GB2312" w:cs="CESI仿宋-GB2312" w:hint="eastAsia"/>
          <w:bCs/>
          <w:sz w:val="32"/>
          <w:szCs w:val="32"/>
        </w:rPr>
        <w:t>项目支出金额35万元。</w:t>
      </w:r>
      <w:r>
        <w:rPr>
          <w:rFonts w:ascii="CESI仿宋-GB2312" w:eastAsia="CESI仿宋-GB2312" w:hAnsi="CESI仿宋-GB2312" w:cs="CESI仿宋-GB2312" w:hint="eastAsia"/>
          <w:color w:val="000000"/>
          <w:sz w:val="32"/>
          <w:szCs w:val="32"/>
        </w:rPr>
        <w:t>该项目</w:t>
      </w:r>
      <w:r>
        <w:rPr>
          <w:rFonts w:ascii="CESI仿宋-GB2312" w:eastAsia="CESI仿宋-GB2312" w:hAnsi="CESI仿宋-GB2312" w:cs="CESI仿宋-GB2312" w:hint="eastAsia"/>
          <w:bCs/>
          <w:sz w:val="32"/>
          <w:szCs w:val="32"/>
        </w:rPr>
        <w:t>主要用于天网。</w:t>
      </w:r>
    </w:p>
    <w:p w14:paraId="025C9D82" w14:textId="77777777" w:rsidR="009C4F3C" w:rsidRDefault="00EF39FE">
      <w:pPr>
        <w:snapToGrid w:val="0"/>
        <w:spacing w:line="520" w:lineRule="exact"/>
        <w:ind w:firstLineChars="200" w:firstLine="643"/>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H.“租赁费”</w:t>
      </w:r>
      <w:r>
        <w:rPr>
          <w:rFonts w:ascii="CESI仿宋-GB2312" w:eastAsia="CESI仿宋-GB2312" w:hAnsi="CESI仿宋-GB2312" w:cs="CESI仿宋-GB2312" w:hint="eastAsia"/>
          <w:bCs/>
          <w:sz w:val="32"/>
          <w:szCs w:val="32"/>
        </w:rPr>
        <w:t>项目支出金额94.80万元，该项目主要用于电子政务网、金税网等网络通信线路维护、租用等工作。</w:t>
      </w:r>
    </w:p>
    <w:p w14:paraId="361328B8" w14:textId="77777777" w:rsidR="009C4F3C" w:rsidRDefault="00EF39FE">
      <w:pPr>
        <w:snapToGrid w:val="0"/>
        <w:spacing w:line="520" w:lineRule="exact"/>
        <w:ind w:firstLineChars="200" w:firstLine="643"/>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I.“医疗服务与保障能力提升资金”</w:t>
      </w:r>
      <w:r>
        <w:rPr>
          <w:rFonts w:ascii="CESI仿宋-GB2312" w:eastAsia="CESI仿宋-GB2312" w:hAnsi="CESI仿宋-GB2312" w:cs="CESI仿宋-GB2312" w:hint="eastAsia"/>
          <w:bCs/>
          <w:sz w:val="32"/>
          <w:szCs w:val="32"/>
        </w:rPr>
        <w:t xml:space="preserve"> 项目支出金额12.02万元。主要用于医疗卫生机构能力建设、卫生健康人才培养、医疗保障服务能力建设。</w:t>
      </w:r>
    </w:p>
    <w:p w14:paraId="180DDFEF" w14:textId="77777777" w:rsidR="009C4F3C" w:rsidRDefault="00EF39FE">
      <w:pPr>
        <w:snapToGrid w:val="0"/>
        <w:spacing w:line="520" w:lineRule="exact"/>
        <w:ind w:firstLineChars="200" w:firstLine="643"/>
        <w:rPr>
          <w:rFonts w:ascii="CESI仿宋-GB2312" w:eastAsia="CESI仿宋-GB2312" w:hAnsi="CESI仿宋-GB2312" w:cs="CESI仿宋-GB2312" w:hint="eastAsia"/>
          <w:bCs/>
          <w:sz w:val="32"/>
          <w:szCs w:val="32"/>
        </w:rPr>
      </w:pPr>
      <w:r>
        <w:rPr>
          <w:rFonts w:ascii="CESI仿宋-GB2312" w:eastAsia="CESI仿宋-GB2312" w:hAnsi="CESI仿宋-GB2312" w:cs="CESI仿宋-GB2312" w:hint="eastAsia"/>
          <w:b/>
          <w:sz w:val="32"/>
          <w:szCs w:val="32"/>
        </w:rPr>
        <w:t>J.“重大传染病防控补助资金”</w:t>
      </w:r>
      <w:r>
        <w:rPr>
          <w:rFonts w:ascii="CESI仿宋-GB2312" w:eastAsia="CESI仿宋-GB2312" w:hAnsi="CESI仿宋-GB2312" w:cs="CESI仿宋-GB2312" w:hint="eastAsia"/>
          <w:bCs/>
          <w:sz w:val="32"/>
          <w:szCs w:val="32"/>
        </w:rPr>
        <w:t>项目支出金额13.97万元。分别拨付给四川省科学城医院、江油九〇三医院，用于医疗保障、传染病防控等事项。</w:t>
      </w:r>
    </w:p>
    <w:p w14:paraId="67548A12" w14:textId="77777777" w:rsidR="009C4F3C" w:rsidRDefault="00EF39FE">
      <w:pPr>
        <w:widowControl/>
        <w:adjustRightInd w:val="0"/>
        <w:snapToGrid w:val="0"/>
        <w:spacing w:line="560" w:lineRule="exact"/>
        <w:ind w:left="640"/>
        <w:jc w:val="left"/>
        <w:rPr>
          <w:rFonts w:ascii="CESI仿宋-GB2312" w:eastAsia="CESI仿宋-GB2312" w:hAnsi="CESI仿宋-GB2312" w:cs="CESI仿宋-GB2312" w:hint="eastAsia"/>
          <w:sz w:val="32"/>
          <w:szCs w:val="32"/>
        </w:rPr>
      </w:pPr>
      <w:r>
        <w:rPr>
          <w:rFonts w:ascii="CESI仿宋-GB2312" w:eastAsia="CESI仿宋-GB2312" w:hAnsi="CESI仿宋-GB2312" w:cs="CESI仿宋-GB2312" w:hint="eastAsia"/>
        </w:rPr>
        <w:t xml:space="preserve">  </w:t>
      </w:r>
      <w:r>
        <w:rPr>
          <w:rFonts w:ascii="CESI仿宋-GB2312" w:eastAsia="CESI仿宋-GB2312" w:hAnsi="CESI仿宋-GB2312" w:cs="CESI仿宋-GB2312" w:hint="eastAsia"/>
          <w:b/>
          <w:sz w:val="32"/>
          <w:szCs w:val="32"/>
        </w:rPr>
        <w:t>K.“省级补助卫生健康”</w:t>
      </w:r>
      <w:r>
        <w:rPr>
          <w:rFonts w:ascii="CESI仿宋-GB2312" w:eastAsia="CESI仿宋-GB2312" w:hAnsi="CESI仿宋-GB2312" w:cs="CESI仿宋-GB2312" w:hint="eastAsia"/>
          <w:sz w:val="32"/>
          <w:szCs w:val="32"/>
        </w:rPr>
        <w:t>项目支出金额100.00万元。</w:t>
      </w:r>
    </w:p>
    <w:p w14:paraId="3141C1DC" w14:textId="77777777" w:rsidR="009C4F3C" w:rsidRDefault="00EF39FE">
      <w:pPr>
        <w:widowControl/>
        <w:adjustRightInd w:val="0"/>
        <w:snapToGrid w:val="0"/>
        <w:spacing w:line="560" w:lineRule="exact"/>
        <w:ind w:left="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3.部门财政拨款结转结余情况</w:t>
      </w:r>
    </w:p>
    <w:p w14:paraId="42B6EF49" w14:textId="77777777" w:rsidR="009C4F3C" w:rsidRDefault="00EF39FE">
      <w:pPr>
        <w:widowControl/>
        <w:adjustRightInd w:val="0"/>
        <w:snapToGrid w:val="0"/>
        <w:spacing w:line="560" w:lineRule="exact"/>
        <w:ind w:firstLineChars="193" w:firstLine="618"/>
        <w:contextualSpacing/>
        <w:jc w:val="left"/>
        <w:rPr>
          <w:rFonts w:ascii="仿宋_GB2312" w:eastAsia="仿宋_GB2312" w:hAnsi="仿宋_GB2312" w:cs="仿宋_GB2312" w:hint="eastAsia"/>
          <w:snapToGrid w:val="0"/>
          <w:color w:val="000000"/>
          <w:kern w:val="0"/>
          <w:sz w:val="32"/>
          <w:szCs w:val="32"/>
          <w:shd w:val="clear" w:color="auto" w:fill="FFFFFF"/>
          <w:lang w:val="zh-CN"/>
        </w:rPr>
      </w:pPr>
      <w:r>
        <w:rPr>
          <w:rFonts w:ascii="仿宋_GB2312" w:eastAsia="仿宋_GB2312" w:hAnsi="仿宋_GB2312" w:cs="仿宋_GB2312"/>
          <w:snapToGrid w:val="0"/>
          <w:kern w:val="0"/>
          <w:sz w:val="32"/>
          <w:szCs w:val="32"/>
          <w:shd w:val="clear" w:color="auto" w:fill="FFFFFF"/>
        </w:rPr>
        <w:t>年末各项收支无结转和结余。</w:t>
      </w:r>
    </w:p>
    <w:p w14:paraId="7F069F9A" w14:textId="77777777" w:rsidR="009C4F3C" w:rsidRDefault="00EF39FE">
      <w:pPr>
        <w:widowControl/>
        <w:adjustRightInd w:val="0"/>
        <w:snapToGrid w:val="0"/>
        <w:spacing w:line="560" w:lineRule="exact"/>
        <w:ind w:firstLineChars="193" w:firstLine="618"/>
        <w:contextualSpacing/>
        <w:jc w:val="left"/>
        <w:rPr>
          <w:rFonts w:ascii="黑体" w:eastAsia="黑体" w:hAnsi="宋体" w:cs="宋体" w:hint="eastAsia"/>
          <w:snapToGrid w:val="0"/>
          <w:color w:val="000000"/>
          <w:kern w:val="0"/>
          <w:sz w:val="32"/>
          <w:szCs w:val="32"/>
          <w:shd w:val="clear" w:color="auto" w:fill="FFFFFF"/>
        </w:rPr>
      </w:pPr>
      <w:r>
        <w:rPr>
          <w:rFonts w:ascii="黑体" w:eastAsia="黑体" w:hAnsi="宋体" w:cs="宋体" w:hint="eastAsia"/>
          <w:snapToGrid w:val="0"/>
          <w:color w:val="000000"/>
          <w:kern w:val="0"/>
          <w:sz w:val="32"/>
          <w:szCs w:val="32"/>
          <w:shd w:val="clear" w:color="auto" w:fill="FFFFFF"/>
        </w:rPr>
        <w:t>三、部门整体绩效分析</w:t>
      </w:r>
    </w:p>
    <w:p w14:paraId="3C25E037" w14:textId="77777777" w:rsidR="009C4F3C" w:rsidRDefault="00EF39FE">
      <w:pPr>
        <w:widowControl/>
        <w:adjustRightInd w:val="0"/>
        <w:snapToGrid w:val="0"/>
        <w:spacing w:line="560" w:lineRule="exact"/>
        <w:ind w:firstLineChars="193" w:firstLine="618"/>
        <w:contextualSpacing/>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1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㈠</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部门预算项目绩效管理</w:t>
      </w:r>
    </w:p>
    <w:p w14:paraId="14176ED5"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1.运转类项目绩效分析</w:t>
      </w:r>
    </w:p>
    <w:p w14:paraId="6203947A" w14:textId="77777777" w:rsidR="009C4F3C" w:rsidRDefault="00EF39FE">
      <w:pPr>
        <w:pStyle w:val="Style1"/>
        <w:widowControl/>
        <w:adjustRightInd w:val="0"/>
        <w:snapToGrid w:val="0"/>
        <w:spacing w:line="560" w:lineRule="exact"/>
        <w:ind w:firstLineChars="193" w:firstLine="618"/>
        <w:jc w:val="left"/>
        <w:rPr>
          <w:rFonts w:ascii="仿宋_GB2312" w:hAnsi="仿宋" w:cs="宋体" w:hint="eastAsia"/>
          <w:snapToGrid w:val="0"/>
          <w:kern w:val="0"/>
          <w:szCs w:val="32"/>
          <w:shd w:val="clear" w:color="auto" w:fill="FFFFFF"/>
        </w:rPr>
      </w:pPr>
      <w:r>
        <w:rPr>
          <w:rFonts w:ascii="仿宋_GB2312" w:hAnsi="仿宋_GB2312" w:cs="仿宋_GB2312" w:hint="eastAsia"/>
          <w:snapToGrid w:val="0"/>
          <w:kern w:val="0"/>
          <w:szCs w:val="32"/>
          <w:shd w:val="clear" w:color="auto" w:fill="FFFFFF"/>
        </w:rPr>
        <w:fldChar w:fldCharType="begin"/>
      </w:r>
      <w:r>
        <w:rPr>
          <w:rFonts w:ascii="仿宋_GB2312" w:hAnsi="仿宋_GB2312" w:cs="仿宋_GB2312" w:hint="eastAsia"/>
          <w:snapToGrid w:val="0"/>
          <w:kern w:val="0"/>
          <w:szCs w:val="32"/>
          <w:shd w:val="clear" w:color="auto" w:fill="FFFFFF"/>
        </w:rPr>
        <w:instrText xml:space="preserve"> = 1 \* GB2 \* MERGEFORMAT </w:instrText>
      </w:r>
      <w:r>
        <w:rPr>
          <w:rFonts w:ascii="仿宋_GB2312" w:hAnsi="仿宋_GB2312" w:cs="仿宋_GB2312" w:hint="eastAsia"/>
          <w:snapToGrid w:val="0"/>
          <w:kern w:val="0"/>
          <w:szCs w:val="32"/>
          <w:shd w:val="clear" w:color="auto" w:fill="FFFFFF"/>
        </w:rPr>
        <w:fldChar w:fldCharType="separate"/>
      </w:r>
      <w:r>
        <w:rPr>
          <w:rFonts w:ascii="仿宋_GB2312" w:hAnsi="仿宋_GB2312" w:cs="仿宋_GB2312" w:hint="eastAsia"/>
          <w:snapToGrid w:val="0"/>
          <w:kern w:val="0"/>
          <w:szCs w:val="32"/>
          <w:shd w:val="clear" w:color="auto" w:fill="FFFFFF"/>
        </w:rPr>
        <w:t>⑴</w:t>
      </w:r>
      <w:r>
        <w:rPr>
          <w:rFonts w:ascii="仿宋_GB2312" w:hAnsi="仿宋_GB2312" w:cs="仿宋_GB2312" w:hint="eastAsia"/>
          <w:snapToGrid w:val="0"/>
          <w:kern w:val="0"/>
          <w:szCs w:val="32"/>
          <w:shd w:val="clear" w:color="auto" w:fill="FFFFFF"/>
        </w:rPr>
        <w:fldChar w:fldCharType="end"/>
      </w:r>
      <w:r>
        <w:rPr>
          <w:rFonts w:ascii="仿宋_GB2312" w:hAnsi="仿宋_GB2312" w:cs="仿宋_GB2312" w:hint="eastAsia"/>
          <w:snapToGrid w:val="0"/>
          <w:kern w:val="0"/>
          <w:szCs w:val="32"/>
          <w:shd w:val="clear" w:color="auto" w:fill="FFFFFF"/>
        </w:rPr>
        <w:t>目标制定</w:t>
      </w:r>
      <w:r>
        <w:rPr>
          <w:rFonts w:ascii="仿宋_GB2312" w:hAnsi="仿宋" w:cs="宋体" w:hint="eastAsia"/>
          <w:snapToGrid w:val="0"/>
          <w:kern w:val="0"/>
          <w:szCs w:val="32"/>
          <w:shd w:val="clear" w:color="auto" w:fill="FFFFFF"/>
        </w:rPr>
        <w:t>（分值20分，自评19分）</w:t>
      </w:r>
    </w:p>
    <w:p w14:paraId="3E6407E1" w14:textId="77777777" w:rsidR="009C4F3C" w:rsidRDefault="00EF39FE">
      <w:pPr>
        <w:widowControl/>
        <w:adjustRightInd w:val="0"/>
        <w:snapToGrid w:val="0"/>
        <w:spacing w:line="560" w:lineRule="exact"/>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 xml:space="preserve">    2023年省人民政府科学城办事处运转类项目绩效目标内容完整，细化量化，标准合理，预算匹配，符合部门职能及事业发</w:t>
      </w:r>
      <w:r>
        <w:rPr>
          <w:rFonts w:ascii="仿宋_GB2312" w:eastAsia="仿宋_GB2312" w:hAnsi="仿宋_GB2312" w:cs="仿宋_GB2312" w:hint="eastAsia"/>
          <w:snapToGrid w:val="0"/>
          <w:kern w:val="0"/>
          <w:sz w:val="32"/>
          <w:szCs w:val="32"/>
          <w:shd w:val="clear" w:color="auto" w:fill="FFFFFF"/>
        </w:rPr>
        <w:lastRenderedPageBreak/>
        <w:t>展规划，经省财政厅反馈，我单位2023年度绩效目标会审得分为9.5分，折算后该项指标得19分。</w:t>
      </w:r>
    </w:p>
    <w:p w14:paraId="1E8F0A5F"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2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⑵</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目标实</w:t>
      </w:r>
      <w:r>
        <w:rPr>
          <w:rFonts w:ascii="仿宋_GB2312" w:eastAsia="仿宋_GB2312" w:hAnsi="仿宋" w:cs="宋体" w:hint="eastAsia"/>
          <w:snapToGrid w:val="0"/>
          <w:kern w:val="0"/>
          <w:sz w:val="32"/>
          <w:szCs w:val="32"/>
          <w:shd w:val="clear" w:color="auto" w:fill="FFFFFF"/>
        </w:rPr>
        <w:t>现（分值20分，自评20分）</w:t>
      </w:r>
    </w:p>
    <w:p w14:paraId="708DAADC"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纳入绩效目标管理的运转类项目1个，涉及预算1100万元。主要用于：保障科学城社会管理事务专项、科学城天网运行维护、人防工程运行维护、信息化运行维护、辖区食品药品安全保障、辖区道路及市政设施维修维护及科学城城区生活垃圾处置等重点工作开展。依据计分标准，该项指标得20分。</w:t>
      </w:r>
    </w:p>
    <w:p w14:paraId="05E0BDA6"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3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⑶</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支出控制</w:t>
      </w:r>
      <w:r>
        <w:rPr>
          <w:rFonts w:ascii="仿宋_GB2312" w:eastAsia="仿宋_GB2312" w:hAnsi="仿宋" w:cs="宋体" w:hint="eastAsia"/>
          <w:snapToGrid w:val="0"/>
          <w:kern w:val="0"/>
          <w:sz w:val="32"/>
          <w:szCs w:val="32"/>
          <w:shd w:val="clear" w:color="auto" w:fill="FFFFFF"/>
        </w:rPr>
        <w:t>（分值5分，自评5分）</w:t>
      </w:r>
    </w:p>
    <w:p w14:paraId="19D8495F"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2023年省人民政府科学城办事处运转类项目的部门日常公用经费、项目支出中“办公费、印刷费、水费、电费、物业管理费”等科目年初预算数与决算数偏差率为0.07%，预决算偏差程度在10%以内，该项指标得5分。</w:t>
      </w:r>
    </w:p>
    <w:p w14:paraId="1983809B"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4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⑷</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及时处置</w:t>
      </w:r>
      <w:r>
        <w:rPr>
          <w:rFonts w:ascii="仿宋_GB2312" w:eastAsia="仿宋_GB2312" w:hAnsi="仿宋" w:cs="宋体" w:hint="eastAsia"/>
          <w:snapToGrid w:val="0"/>
          <w:kern w:val="0"/>
          <w:sz w:val="32"/>
          <w:szCs w:val="32"/>
          <w:shd w:val="clear" w:color="auto" w:fill="FFFFFF"/>
        </w:rPr>
        <w:t>（分值5分，自评5分）</w:t>
      </w:r>
    </w:p>
    <w:p w14:paraId="64E96B89"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2023年省人民政府科学城办事处根据川财绩〔2023〕11号要求，在预算一体化系统中对运转类项目及时提出处置意见并落实，该项指标得5分。</w:t>
      </w:r>
    </w:p>
    <w:p w14:paraId="69CF4D92"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5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⑸</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执行进度</w:t>
      </w:r>
      <w:r>
        <w:rPr>
          <w:rFonts w:ascii="仿宋_GB2312" w:eastAsia="仿宋_GB2312" w:hAnsi="仿宋" w:cs="宋体" w:hint="eastAsia"/>
          <w:snapToGrid w:val="0"/>
          <w:kern w:val="0"/>
          <w:sz w:val="32"/>
          <w:szCs w:val="32"/>
          <w:shd w:val="clear" w:color="auto" w:fill="FFFFFF"/>
        </w:rPr>
        <w:t>（分值5分，自评5分）</w:t>
      </w:r>
    </w:p>
    <w:p w14:paraId="50DFBBF8"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2023年省人民政府科学城办事处运转类项目6、9、11月执行进度分别为53.34%、74.23%、92.86%，省厅部门预算6、9、</w:t>
      </w:r>
      <w:r>
        <w:rPr>
          <w:rFonts w:ascii="仿宋_GB2312" w:eastAsia="仿宋_GB2312" w:hAnsi="仿宋_GB2312" w:cs="仿宋_GB2312" w:hint="eastAsia"/>
          <w:snapToGrid w:val="0"/>
          <w:kern w:val="0"/>
          <w:sz w:val="32"/>
          <w:szCs w:val="32"/>
          <w:shd w:val="clear" w:color="auto" w:fill="FFFFFF"/>
        </w:rPr>
        <w:lastRenderedPageBreak/>
        <w:t>11月执行进度标准为40%、67.5%、82.5%，根据指标设置标准，该项指标得10分。</w:t>
      </w:r>
    </w:p>
    <w:p w14:paraId="323B0272"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6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⑹</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预算完成情况</w:t>
      </w:r>
      <w:r>
        <w:rPr>
          <w:rFonts w:ascii="仿宋_GB2312" w:eastAsia="仿宋_GB2312" w:hAnsi="仿宋" w:cs="宋体" w:hint="eastAsia"/>
          <w:snapToGrid w:val="0"/>
          <w:kern w:val="0"/>
          <w:sz w:val="32"/>
          <w:szCs w:val="32"/>
          <w:shd w:val="clear" w:color="auto" w:fill="FFFFFF"/>
        </w:rPr>
        <w:t>（分值10分，自评9.9分）</w:t>
      </w:r>
    </w:p>
    <w:p w14:paraId="1CD991BA"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2023年省人民政府科学城办事处部门运转类项目年终预算执行率为99.43%，根据计分标准，该项指标得9.9分；</w:t>
      </w:r>
    </w:p>
    <w:p w14:paraId="61B85CE4"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7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⑺</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资金结余率（低效无效率）</w:t>
      </w:r>
      <w:r>
        <w:rPr>
          <w:rFonts w:ascii="仿宋_GB2312" w:eastAsia="仿宋_GB2312" w:hAnsi="仿宋" w:cs="宋体" w:hint="eastAsia"/>
          <w:snapToGrid w:val="0"/>
          <w:kern w:val="0"/>
          <w:sz w:val="32"/>
          <w:szCs w:val="32"/>
          <w:shd w:val="clear" w:color="auto" w:fill="FFFFFF"/>
        </w:rPr>
        <w:t>（分值5分，自评5分）</w:t>
      </w:r>
    </w:p>
    <w:p w14:paraId="78D08C3D"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2023年省人民政府科学城办事处运转类项目年末各项收支无结转和结余，该项指标得5分。</w:t>
      </w:r>
    </w:p>
    <w:p w14:paraId="73A0F233" w14:textId="77777777" w:rsidR="009C4F3C" w:rsidRDefault="00EF39FE">
      <w:pPr>
        <w:pStyle w:val="Style1"/>
        <w:widowControl/>
        <w:adjustRightInd w:val="0"/>
        <w:snapToGrid w:val="0"/>
        <w:spacing w:line="560" w:lineRule="exact"/>
        <w:ind w:firstLineChars="193" w:firstLine="618"/>
        <w:jc w:val="left"/>
        <w:rPr>
          <w:rFonts w:ascii="仿宋_GB2312" w:hAnsi="仿宋" w:cs="宋体" w:hint="eastAsia"/>
          <w:snapToGrid w:val="0"/>
          <w:kern w:val="0"/>
          <w:szCs w:val="32"/>
          <w:shd w:val="clear" w:color="auto" w:fill="FFFFFF"/>
        </w:rPr>
      </w:pPr>
      <w:r>
        <w:rPr>
          <w:rFonts w:ascii="仿宋_GB2312" w:hAnsi="仿宋_GB2312" w:cs="仿宋_GB2312" w:hint="eastAsia"/>
          <w:snapToGrid w:val="0"/>
          <w:kern w:val="0"/>
          <w:szCs w:val="32"/>
          <w:shd w:val="clear" w:color="auto" w:fill="FFFFFF"/>
        </w:rPr>
        <w:fldChar w:fldCharType="begin"/>
      </w:r>
      <w:r>
        <w:rPr>
          <w:rFonts w:ascii="仿宋_GB2312" w:hAnsi="仿宋_GB2312" w:cs="仿宋_GB2312" w:hint="eastAsia"/>
          <w:snapToGrid w:val="0"/>
          <w:kern w:val="0"/>
          <w:szCs w:val="32"/>
          <w:shd w:val="clear" w:color="auto" w:fill="FFFFFF"/>
        </w:rPr>
        <w:instrText xml:space="preserve"> = 8 \* GB2 \* MERGEFORMAT </w:instrText>
      </w:r>
      <w:r>
        <w:rPr>
          <w:rFonts w:ascii="仿宋_GB2312" w:hAnsi="仿宋_GB2312" w:cs="仿宋_GB2312" w:hint="eastAsia"/>
          <w:snapToGrid w:val="0"/>
          <w:kern w:val="0"/>
          <w:szCs w:val="32"/>
          <w:shd w:val="clear" w:color="auto" w:fill="FFFFFF"/>
        </w:rPr>
        <w:fldChar w:fldCharType="separate"/>
      </w:r>
      <w:r>
        <w:rPr>
          <w:rFonts w:ascii="仿宋_GB2312" w:hAnsi="仿宋_GB2312" w:cs="仿宋_GB2312" w:hint="eastAsia"/>
          <w:snapToGrid w:val="0"/>
          <w:kern w:val="0"/>
          <w:szCs w:val="32"/>
          <w:shd w:val="clear" w:color="auto" w:fill="FFFFFF"/>
        </w:rPr>
        <w:t>⑻</w:t>
      </w:r>
      <w:r>
        <w:rPr>
          <w:rFonts w:ascii="仿宋_GB2312" w:hAnsi="仿宋_GB2312" w:cs="仿宋_GB2312" w:hint="eastAsia"/>
          <w:snapToGrid w:val="0"/>
          <w:kern w:val="0"/>
          <w:szCs w:val="32"/>
          <w:shd w:val="clear" w:color="auto" w:fill="FFFFFF"/>
        </w:rPr>
        <w:fldChar w:fldCharType="end"/>
      </w:r>
      <w:r>
        <w:rPr>
          <w:rFonts w:ascii="仿宋_GB2312" w:hAnsi="仿宋_GB2312" w:cs="仿宋_GB2312" w:hint="eastAsia"/>
          <w:snapToGrid w:val="0"/>
          <w:kern w:val="0"/>
          <w:szCs w:val="32"/>
          <w:shd w:val="clear" w:color="auto" w:fill="FFFFFF"/>
        </w:rPr>
        <w:t>违规记录</w:t>
      </w:r>
      <w:r>
        <w:rPr>
          <w:rFonts w:ascii="仿宋_GB2312" w:hAnsi="仿宋" w:cs="宋体" w:hint="eastAsia"/>
          <w:snapToGrid w:val="0"/>
          <w:kern w:val="0"/>
          <w:szCs w:val="32"/>
          <w:shd w:val="clear" w:color="auto" w:fill="FFFFFF"/>
        </w:rPr>
        <w:t>（分值5分，自评5分）</w:t>
      </w:r>
    </w:p>
    <w:p w14:paraId="00787A0E"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2023年省人民政府科学城办事处运转类项目无违规违纪记录，该项指标得5分。</w:t>
      </w:r>
    </w:p>
    <w:p w14:paraId="28EF1160"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2.特定目标类项目绩效分析</w:t>
      </w:r>
    </w:p>
    <w:p w14:paraId="767A62BE"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1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⑴</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部门绩效目标制定（分值20分，自评19分）</w:t>
      </w:r>
    </w:p>
    <w:p w14:paraId="502B1AAE"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特定目标类项目绩效目标内容完整，细化量化，标准合理，预算匹配，符合部门职能及事业发展规划，经省财政厅反馈，我单位2023年度绩效目标会审得分为9.5分，折算后该项指标得19分。</w:t>
      </w:r>
    </w:p>
    <w:p w14:paraId="20AB6CFD"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2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⑵</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目标实现（分值20分，自评20分）</w:t>
      </w:r>
    </w:p>
    <w:p w14:paraId="6B80EF56" w14:textId="2A264705"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2023年省人民政府科学城办事处纳入绩效目标管理的特定目标类项目4个，</w:t>
      </w:r>
      <w:r>
        <w:rPr>
          <w:rFonts w:ascii="仿宋_GB2312" w:eastAsia="仿宋_GB2312" w:hAnsi="仿宋_GB2312" w:cs="仿宋_GB2312" w:hint="eastAsia"/>
          <w:snapToGrid w:val="0"/>
          <w:sz w:val="32"/>
          <w:szCs w:val="32"/>
        </w:rPr>
        <w:t>涉及预算34.57万元。</w:t>
      </w:r>
      <w:r>
        <w:rPr>
          <w:rFonts w:ascii="仿宋_GB2312" w:eastAsia="仿宋_GB2312" w:hAnsi="仿宋_GB2312" w:cs="仿宋_GB2312" w:hint="eastAsia"/>
          <w:snapToGrid w:val="0"/>
          <w:kern w:val="0"/>
          <w:sz w:val="32"/>
          <w:szCs w:val="32"/>
          <w:shd w:val="clear" w:color="auto" w:fill="FFFFFF"/>
        </w:rPr>
        <w:t>该项指标得20分。</w:t>
      </w:r>
    </w:p>
    <w:p w14:paraId="4C6AB6BE"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3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⑶</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支出控制</w:t>
      </w:r>
      <w:r>
        <w:rPr>
          <w:rFonts w:ascii="仿宋_GB2312" w:eastAsia="仿宋_GB2312" w:hAnsi="仿宋" w:cs="宋体" w:hint="eastAsia"/>
          <w:snapToGrid w:val="0"/>
          <w:kern w:val="0"/>
          <w:sz w:val="32"/>
          <w:szCs w:val="32"/>
          <w:shd w:val="clear" w:color="auto" w:fill="FFFFFF"/>
        </w:rPr>
        <w:t>（分值5分，自评5分）</w:t>
      </w:r>
    </w:p>
    <w:p w14:paraId="34F184A5"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lastRenderedPageBreak/>
        <w:t>2023年省人民政府科学城办事处特定目标类项目年初预算数与决算数偏差率为0%，预决算偏差程度在10%以内，该项指标得5分。</w:t>
      </w:r>
    </w:p>
    <w:p w14:paraId="307A7DD1"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4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⑷</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及时处置</w:t>
      </w:r>
      <w:r>
        <w:rPr>
          <w:rFonts w:ascii="仿宋_GB2312" w:eastAsia="仿宋_GB2312" w:hAnsi="仿宋" w:cs="宋体" w:hint="eastAsia"/>
          <w:snapToGrid w:val="0"/>
          <w:kern w:val="0"/>
          <w:sz w:val="32"/>
          <w:szCs w:val="32"/>
          <w:shd w:val="clear" w:color="auto" w:fill="FFFFFF"/>
        </w:rPr>
        <w:t>（分值5分，自评5分）</w:t>
      </w:r>
    </w:p>
    <w:p w14:paraId="66398687"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2023年省人民政府科学城办事处根据川财绩〔2023〕11号要求，在预算一体化系统中对特定目标类项目及时提出处置意见并落实，该项指标得5分。</w:t>
      </w:r>
    </w:p>
    <w:p w14:paraId="47EACD72"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5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⑸</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执行进度（分值5分，自评3.3分）</w:t>
      </w:r>
    </w:p>
    <w:p w14:paraId="15D8778B"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特定目标类项目卫生健康人才培养、重大传染病防控（6、9、11月执行进度均分为100%、100%、100%，省厅部门预算6、9、11月执行进度标准为40%、67.5%、82.5%，根据指标设置标准，该项指标得3.3分。</w:t>
      </w:r>
    </w:p>
    <w:p w14:paraId="2C6EBCE7"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6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⑹</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预算完成情况</w:t>
      </w:r>
      <w:r>
        <w:rPr>
          <w:rFonts w:ascii="仿宋_GB2312" w:eastAsia="仿宋_GB2312" w:hAnsi="仿宋" w:cs="宋体" w:hint="eastAsia"/>
          <w:snapToGrid w:val="0"/>
          <w:kern w:val="0"/>
          <w:sz w:val="32"/>
          <w:szCs w:val="32"/>
          <w:shd w:val="clear" w:color="auto" w:fill="FFFFFF"/>
        </w:rPr>
        <w:t>（分值10分，自评10分）</w:t>
      </w:r>
    </w:p>
    <w:p w14:paraId="2F51C69B"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2023年省人民政府科学城办事处部门特定目标类项目年终预算执行率为100%，根据计分标准，该项指标得10分。</w:t>
      </w:r>
    </w:p>
    <w:p w14:paraId="6F3CF63B"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7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⑺</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资金结余率（低效无效率）</w:t>
      </w:r>
      <w:r>
        <w:rPr>
          <w:rFonts w:ascii="仿宋_GB2312" w:eastAsia="仿宋_GB2312" w:hAnsi="仿宋" w:cs="宋体" w:hint="eastAsia"/>
          <w:snapToGrid w:val="0"/>
          <w:kern w:val="0"/>
          <w:sz w:val="32"/>
          <w:szCs w:val="32"/>
          <w:shd w:val="clear" w:color="auto" w:fill="FFFFFF"/>
        </w:rPr>
        <w:t>（分值5分，自评5分）</w:t>
      </w:r>
    </w:p>
    <w:p w14:paraId="10BF320B"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2023年省人民政府科学城办事处特定目标类项目年末各项收支无结转和结余，该项指标得5分。</w:t>
      </w:r>
    </w:p>
    <w:p w14:paraId="11EF862C"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fldChar w:fldCharType="begin"/>
      </w:r>
      <w:r>
        <w:rPr>
          <w:rFonts w:ascii="仿宋_GB2312" w:eastAsia="仿宋_GB2312" w:hAnsi="仿宋_GB2312" w:cs="仿宋_GB2312" w:hint="eastAsia"/>
          <w:snapToGrid w:val="0"/>
          <w:kern w:val="0"/>
          <w:sz w:val="32"/>
          <w:szCs w:val="32"/>
          <w:shd w:val="clear" w:color="auto" w:fill="FFFFFF"/>
        </w:rPr>
        <w:instrText xml:space="preserve"> = 8 \* GB2 \* MERGEFORMAT </w:instrText>
      </w:r>
      <w:r>
        <w:rPr>
          <w:rFonts w:ascii="仿宋_GB2312" w:eastAsia="仿宋_GB2312" w:hAnsi="仿宋_GB2312" w:cs="仿宋_GB2312" w:hint="eastAsia"/>
          <w:snapToGrid w:val="0"/>
          <w:kern w:val="0"/>
          <w:sz w:val="32"/>
          <w:szCs w:val="32"/>
          <w:shd w:val="clear" w:color="auto" w:fill="FFFFFF"/>
        </w:rPr>
        <w:fldChar w:fldCharType="separate"/>
      </w:r>
      <w:r>
        <w:rPr>
          <w:rFonts w:ascii="仿宋_GB2312" w:eastAsia="仿宋_GB2312" w:hAnsi="仿宋_GB2312" w:cs="仿宋_GB2312" w:hint="eastAsia"/>
          <w:snapToGrid w:val="0"/>
          <w:kern w:val="0"/>
          <w:sz w:val="32"/>
          <w:szCs w:val="32"/>
          <w:shd w:val="clear" w:color="auto" w:fill="FFFFFF"/>
        </w:rPr>
        <w:t>⑻</w:t>
      </w:r>
      <w:r>
        <w:rPr>
          <w:rFonts w:ascii="仿宋_GB2312" w:eastAsia="仿宋_GB2312" w:hAnsi="仿宋_GB2312" w:cs="仿宋_GB2312" w:hint="eastAsia"/>
          <w:snapToGrid w:val="0"/>
          <w:kern w:val="0"/>
          <w:sz w:val="32"/>
          <w:szCs w:val="32"/>
          <w:shd w:val="clear" w:color="auto" w:fill="FFFFFF"/>
        </w:rPr>
        <w:fldChar w:fldCharType="end"/>
      </w:r>
      <w:r>
        <w:rPr>
          <w:rFonts w:ascii="仿宋_GB2312" w:eastAsia="仿宋_GB2312" w:hAnsi="仿宋_GB2312" w:cs="仿宋_GB2312" w:hint="eastAsia"/>
          <w:snapToGrid w:val="0"/>
          <w:kern w:val="0"/>
          <w:sz w:val="32"/>
          <w:szCs w:val="32"/>
          <w:shd w:val="clear" w:color="auto" w:fill="FFFFFF"/>
        </w:rPr>
        <w:t>违规记录（分值5分，自评5分）</w:t>
      </w:r>
    </w:p>
    <w:p w14:paraId="2CFB05FA" w14:textId="77777777" w:rsidR="009C4F3C" w:rsidRDefault="00EF39FE">
      <w:pPr>
        <w:widowControl/>
        <w:adjustRightInd w:val="0"/>
        <w:snapToGrid w:val="0"/>
        <w:spacing w:line="560" w:lineRule="exact"/>
        <w:ind w:firstLineChars="200" w:firstLine="640"/>
        <w:jc w:val="left"/>
        <w:rPr>
          <w:rFonts w:ascii="仿宋_GB2312" w:eastAsia="仿宋_GB2312" w:hAnsi="仿宋_GB2312" w:cs="仿宋_GB2312" w:hint="eastAsia"/>
          <w:snapToGrid w:val="0"/>
          <w:kern w:val="0"/>
          <w:sz w:val="32"/>
          <w:szCs w:val="32"/>
          <w:highlight w:val="yellow"/>
          <w:shd w:val="clear" w:color="auto" w:fill="FFFFFF"/>
        </w:rPr>
      </w:pPr>
      <w:r>
        <w:rPr>
          <w:rFonts w:ascii="仿宋_GB2312" w:eastAsia="仿宋_GB2312" w:hAnsi="仿宋_GB2312" w:cs="仿宋_GB2312" w:hint="eastAsia"/>
          <w:snapToGrid w:val="0"/>
          <w:kern w:val="0"/>
          <w:sz w:val="32"/>
          <w:szCs w:val="32"/>
          <w:shd w:val="clear" w:color="auto" w:fill="FFFFFF"/>
        </w:rPr>
        <w:t>2023年省人民政府科学城办事处特定目标类项目无违规违纪记录，该项指标得5分。</w:t>
      </w:r>
    </w:p>
    <w:p w14:paraId="3520FFF1" w14:textId="77777777" w:rsidR="009C4F3C" w:rsidRDefault="00EF39FE">
      <w:pPr>
        <w:pStyle w:val="Style1"/>
        <w:widowControl/>
        <w:adjustRightInd w:val="0"/>
        <w:snapToGrid w:val="0"/>
        <w:spacing w:line="560" w:lineRule="exact"/>
        <w:ind w:firstLineChars="193" w:firstLine="618"/>
        <w:jc w:val="left"/>
        <w:rPr>
          <w:rFonts w:ascii="楷体_GB2312" w:eastAsia="楷体_GB2312" w:hAnsi="楷体_GB2312" w:cs="楷体_GB2312" w:hint="eastAsia"/>
          <w:snapToGrid w:val="0"/>
          <w:color w:val="000000"/>
          <w:kern w:val="0"/>
          <w:szCs w:val="32"/>
          <w:shd w:val="clear" w:color="auto" w:fill="FFFFFF"/>
          <w:lang w:val="zh-CN"/>
        </w:rPr>
      </w:pPr>
      <w:r>
        <w:rPr>
          <w:rFonts w:ascii="楷体_GB2312" w:eastAsia="楷体_GB2312" w:hAnsi="楷体_GB2312" w:cs="楷体_GB2312" w:hint="eastAsia"/>
          <w:snapToGrid w:val="0"/>
          <w:color w:val="000000"/>
          <w:kern w:val="0"/>
          <w:szCs w:val="32"/>
          <w:shd w:val="clear" w:color="auto" w:fill="FFFFFF"/>
          <w:lang w:val="zh-CN"/>
        </w:rPr>
        <w:fldChar w:fldCharType="begin"/>
      </w:r>
      <w:r>
        <w:rPr>
          <w:rFonts w:ascii="楷体_GB2312" w:eastAsia="楷体_GB2312" w:hAnsi="楷体_GB2312" w:cs="楷体_GB2312" w:hint="eastAsia"/>
          <w:snapToGrid w:val="0"/>
          <w:color w:val="000000"/>
          <w:kern w:val="0"/>
          <w:szCs w:val="32"/>
          <w:shd w:val="clear" w:color="auto" w:fill="FFFFFF"/>
          <w:lang w:val="zh-CN"/>
        </w:rPr>
        <w:instrText xml:space="preserve"> = 2 \* GB4 \* MERGEFORMAT </w:instrText>
      </w:r>
      <w:r>
        <w:rPr>
          <w:rFonts w:ascii="楷体_GB2312" w:eastAsia="楷体_GB2312" w:hAnsi="楷体_GB2312" w:cs="楷体_GB2312" w:hint="eastAsia"/>
          <w:snapToGrid w:val="0"/>
          <w:color w:val="000000"/>
          <w:kern w:val="0"/>
          <w:szCs w:val="32"/>
          <w:shd w:val="clear" w:color="auto" w:fill="FFFFFF"/>
          <w:lang w:val="zh-CN"/>
        </w:rPr>
        <w:fldChar w:fldCharType="separate"/>
      </w:r>
      <w:r>
        <w:rPr>
          <w:rFonts w:ascii="楷体_GB2312" w:eastAsia="楷体_GB2312" w:hAnsi="楷体_GB2312" w:cs="楷体_GB2312" w:hint="eastAsia"/>
          <w:snapToGrid w:val="0"/>
          <w:color w:val="000000"/>
          <w:kern w:val="0"/>
          <w:szCs w:val="32"/>
          <w:shd w:val="clear" w:color="auto" w:fill="FFFFFF"/>
          <w:lang w:val="zh-CN"/>
        </w:rPr>
        <w:t>㈡</w:t>
      </w:r>
      <w:r>
        <w:rPr>
          <w:rFonts w:ascii="楷体_GB2312" w:eastAsia="楷体_GB2312" w:hAnsi="楷体_GB2312" w:cs="楷体_GB2312" w:hint="eastAsia"/>
          <w:snapToGrid w:val="0"/>
          <w:color w:val="000000"/>
          <w:kern w:val="0"/>
          <w:szCs w:val="32"/>
          <w:shd w:val="clear" w:color="auto" w:fill="FFFFFF"/>
          <w:lang w:val="zh-CN"/>
        </w:rPr>
        <w:fldChar w:fldCharType="end"/>
      </w:r>
      <w:r>
        <w:rPr>
          <w:rFonts w:ascii="楷体_GB2312" w:eastAsia="楷体_GB2312" w:hAnsi="楷体_GB2312" w:cs="楷体_GB2312" w:hint="eastAsia"/>
          <w:snapToGrid w:val="0"/>
          <w:color w:val="000000"/>
          <w:kern w:val="0"/>
          <w:szCs w:val="32"/>
          <w:shd w:val="clear" w:color="auto" w:fill="FFFFFF"/>
          <w:lang w:val="zh-CN"/>
        </w:rPr>
        <w:t>部门整体履职绩效分析</w:t>
      </w:r>
    </w:p>
    <w:p w14:paraId="4E079C43" w14:textId="77777777" w:rsidR="009C4F3C" w:rsidRDefault="00EF39FE">
      <w:pPr>
        <w:pStyle w:val="Style1"/>
        <w:widowControl/>
        <w:adjustRightInd w:val="0"/>
        <w:snapToGrid w:val="0"/>
        <w:spacing w:line="560" w:lineRule="exact"/>
        <w:ind w:firstLineChars="193" w:firstLine="618"/>
        <w:jc w:val="left"/>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lastRenderedPageBreak/>
        <w:t>2023年是在全面系统谋划基础上，深入推进“十四五”规划落地实施的关键之年，党的二十大的隆重召开，四川省人民政府科学城办事处（以下简称川府科办）在省政府及省级各主管部门的关心指导支持下，沿着科办第八次党代会明确的“十四五”发展方向与路径，以改革创新为动力，以能力建设为抓手，以满足职工居民对高质量公共服务需求为目标，统筹推进改革发展、科研保障、民生保障、城市建管、政务服务、行政执法、疫情防控、扶贫帮扶各方面工作，一步一个脚印把幸福平安美丽科学城建设宏伟蓝图变为美好现实，较好地完成了2023年各项工作任务。</w:t>
      </w:r>
    </w:p>
    <w:p w14:paraId="15029CC5" w14:textId="77777777" w:rsidR="009C4F3C" w:rsidRDefault="00EF39FE">
      <w:pPr>
        <w:pStyle w:val="Style1"/>
        <w:widowControl/>
        <w:adjustRightInd w:val="0"/>
        <w:snapToGrid w:val="0"/>
        <w:spacing w:line="560" w:lineRule="exact"/>
        <w:ind w:firstLineChars="193" w:firstLine="618"/>
        <w:jc w:val="left"/>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t>2023年度收入、支出调整预算数和年终执行数均为1532.32万元，我单位严格按照预算法和财政厅预算绩效管理相关制度规定，继续以绩效目标实现为导向，以评价结果应用为保障，努力提升绩效目标编制质量和自评质量，全面推进预算绩效管理工作。</w:t>
      </w:r>
    </w:p>
    <w:p w14:paraId="2044F0A9" w14:textId="77777777" w:rsidR="009C4F3C" w:rsidRDefault="00EF39FE">
      <w:pPr>
        <w:widowControl/>
        <w:adjustRightInd w:val="0"/>
        <w:snapToGrid w:val="0"/>
        <w:spacing w:line="560" w:lineRule="exact"/>
        <w:ind w:firstLineChars="193" w:firstLine="618"/>
        <w:contextualSpacing/>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3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㈢</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结果应用情况</w:t>
      </w:r>
    </w:p>
    <w:p w14:paraId="0FD134A0" w14:textId="77777777" w:rsidR="009C4F3C" w:rsidRDefault="00EF39FE">
      <w:pPr>
        <w:pStyle w:val="Style1"/>
        <w:widowControl/>
        <w:adjustRightInd w:val="0"/>
        <w:snapToGrid w:val="0"/>
        <w:spacing w:line="560" w:lineRule="exact"/>
        <w:ind w:firstLine="640"/>
        <w:jc w:val="left"/>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t>1.内部应用（分值10分，自评10分）</w:t>
      </w:r>
    </w:p>
    <w:p w14:paraId="67DC9E90" w14:textId="77777777" w:rsidR="009C4F3C" w:rsidRDefault="00EF39FE">
      <w:pPr>
        <w:pStyle w:val="Style1"/>
        <w:widowControl/>
        <w:adjustRightInd w:val="0"/>
        <w:snapToGrid w:val="0"/>
        <w:spacing w:line="560" w:lineRule="exact"/>
        <w:ind w:firstLineChars="0" w:firstLine="0"/>
        <w:jc w:val="left"/>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t xml:space="preserve">    2023年省人民政府科学城办事处将部门内部绩效结果与预算挂钩，该项指标得10分。</w:t>
      </w:r>
    </w:p>
    <w:p w14:paraId="15BBDC3F" w14:textId="77777777" w:rsidR="009C4F3C" w:rsidRDefault="00EF39FE">
      <w:pPr>
        <w:pStyle w:val="Style1"/>
        <w:widowControl/>
        <w:adjustRightInd w:val="0"/>
        <w:snapToGrid w:val="0"/>
        <w:spacing w:line="560" w:lineRule="exact"/>
        <w:ind w:firstLineChars="193" w:firstLine="618"/>
        <w:jc w:val="left"/>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t>2.自评公开（分值5分，自评5分）</w:t>
      </w:r>
    </w:p>
    <w:p w14:paraId="62FD1FDF" w14:textId="07D794E1" w:rsidR="009C4F3C" w:rsidRDefault="00EF39FE" w:rsidP="00EF39FE">
      <w:pPr>
        <w:pStyle w:val="Style1"/>
        <w:widowControl/>
        <w:adjustRightInd w:val="0"/>
        <w:snapToGrid w:val="0"/>
        <w:spacing w:line="560" w:lineRule="exact"/>
        <w:ind w:firstLineChars="193" w:firstLine="618"/>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t>根据省厅要求，省人民政府科学城办事处202</w:t>
      </w:r>
      <w:r w:rsidR="00A678D6">
        <w:rPr>
          <w:rFonts w:ascii="仿宋_GB2312" w:hAnsi="仿宋" w:cs="宋体" w:hint="eastAsia"/>
          <w:snapToGrid w:val="0"/>
          <w:kern w:val="0"/>
          <w:szCs w:val="32"/>
          <w:shd w:val="clear" w:color="auto" w:fill="FFFFFF"/>
        </w:rPr>
        <w:t>3</w:t>
      </w:r>
      <w:r>
        <w:rPr>
          <w:rFonts w:ascii="仿宋_GB2312" w:hAnsi="仿宋" w:cs="宋体" w:hint="eastAsia"/>
          <w:snapToGrid w:val="0"/>
          <w:kern w:val="0"/>
          <w:szCs w:val="32"/>
          <w:shd w:val="clear" w:color="auto" w:fill="FFFFFF"/>
        </w:rPr>
        <w:t>年</w:t>
      </w:r>
      <w:r w:rsidR="00A678D6">
        <w:rPr>
          <w:rFonts w:ascii="仿宋_GB2312" w:hAnsi="仿宋" w:cs="宋体" w:hint="eastAsia"/>
          <w:snapToGrid w:val="0"/>
          <w:kern w:val="0"/>
          <w:szCs w:val="32"/>
          <w:shd w:val="clear" w:color="auto" w:fill="FFFFFF"/>
        </w:rPr>
        <w:t>2</w:t>
      </w:r>
      <w:r>
        <w:rPr>
          <w:rFonts w:ascii="仿宋_GB2312" w:hAnsi="仿宋" w:cs="宋体" w:hint="eastAsia"/>
          <w:snapToGrid w:val="0"/>
          <w:kern w:val="0"/>
          <w:szCs w:val="32"/>
          <w:shd w:val="clear" w:color="auto" w:fill="FFFFFF"/>
        </w:rPr>
        <w:t>月</w:t>
      </w:r>
      <w:r w:rsidR="00A678D6">
        <w:rPr>
          <w:rFonts w:ascii="仿宋_GB2312" w:hAnsi="仿宋" w:cs="宋体" w:hint="eastAsia"/>
          <w:snapToGrid w:val="0"/>
          <w:kern w:val="0"/>
          <w:szCs w:val="32"/>
          <w:shd w:val="clear" w:color="auto" w:fill="FFFFFF"/>
        </w:rPr>
        <w:t>21</w:t>
      </w:r>
      <w:r>
        <w:rPr>
          <w:rFonts w:ascii="仿宋_GB2312" w:hAnsi="仿宋" w:cs="宋体" w:hint="eastAsia"/>
          <w:snapToGrid w:val="0"/>
          <w:kern w:val="0"/>
          <w:szCs w:val="32"/>
          <w:shd w:val="clear" w:color="auto" w:fill="FFFFFF"/>
        </w:rPr>
        <w:t>日通过科学城阳光政务网将2023年省级部门预算向社会公开，</w:t>
      </w:r>
      <w:r>
        <w:rPr>
          <w:rFonts w:ascii="仿宋_GB2312" w:hAnsi="仿宋" w:cs="宋体" w:hint="eastAsia"/>
          <w:snapToGrid w:val="0"/>
          <w:kern w:val="0"/>
          <w:szCs w:val="32"/>
          <w:shd w:val="clear" w:color="auto" w:fill="FFFFFF"/>
        </w:rPr>
        <w:lastRenderedPageBreak/>
        <w:t>2024年9月2日通过科学城阳光政务网将2023年度四川省人民政府科学城办事处部门决算公开，该项指标得5分。</w:t>
      </w:r>
    </w:p>
    <w:p w14:paraId="23BC96B0" w14:textId="77777777" w:rsidR="009C4F3C" w:rsidRDefault="00EF39FE">
      <w:pPr>
        <w:pStyle w:val="Style1"/>
        <w:widowControl/>
        <w:adjustRightInd w:val="0"/>
        <w:snapToGrid w:val="0"/>
        <w:spacing w:line="560" w:lineRule="exact"/>
        <w:ind w:firstLineChars="193" w:firstLine="618"/>
        <w:jc w:val="left"/>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t>3.问题整改（分值5分，自评5分）</w:t>
      </w:r>
    </w:p>
    <w:p w14:paraId="14EDAE43" w14:textId="77777777" w:rsidR="009C4F3C" w:rsidRDefault="00EF39FE">
      <w:pPr>
        <w:pStyle w:val="Style1"/>
        <w:widowControl/>
        <w:adjustRightInd w:val="0"/>
        <w:snapToGrid w:val="0"/>
        <w:spacing w:line="560" w:lineRule="exact"/>
        <w:ind w:firstLineChars="193" w:firstLine="618"/>
        <w:jc w:val="left"/>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t>我单位按期上报部门整体支出和预算项目支出绩效目标自评，未收到财政厅下达相关问题整改通知，</w:t>
      </w:r>
      <w:r>
        <w:rPr>
          <w:rFonts w:ascii="仿宋_GB2312" w:hAnsi="仿宋_GB2312" w:cs="仿宋_GB2312" w:hint="eastAsia"/>
          <w:snapToGrid w:val="0"/>
          <w:kern w:val="0"/>
          <w:szCs w:val="32"/>
          <w:shd w:val="clear" w:color="auto" w:fill="FFFFFF"/>
        </w:rPr>
        <w:t>该项指标得5分</w:t>
      </w:r>
      <w:r>
        <w:rPr>
          <w:rFonts w:ascii="仿宋_GB2312" w:hAnsi="仿宋" w:cs="宋体" w:hint="eastAsia"/>
          <w:snapToGrid w:val="0"/>
          <w:kern w:val="0"/>
          <w:szCs w:val="32"/>
          <w:shd w:val="clear" w:color="auto" w:fill="FFFFFF"/>
        </w:rPr>
        <w:t>。</w:t>
      </w:r>
    </w:p>
    <w:p w14:paraId="7D430F63" w14:textId="77777777" w:rsidR="009C4F3C" w:rsidRDefault="00EF39FE">
      <w:pPr>
        <w:pStyle w:val="Style1"/>
        <w:widowControl/>
        <w:adjustRightInd w:val="0"/>
        <w:snapToGrid w:val="0"/>
        <w:spacing w:line="560" w:lineRule="exact"/>
        <w:ind w:firstLine="640"/>
        <w:jc w:val="left"/>
        <w:rPr>
          <w:rFonts w:ascii="仿宋_GB2312" w:hAnsi="仿宋" w:cs="宋体" w:hint="eastAsia"/>
          <w:b/>
          <w:bCs/>
          <w:snapToGrid w:val="0"/>
          <w:kern w:val="0"/>
          <w:szCs w:val="32"/>
          <w:shd w:val="clear" w:color="auto" w:fill="FFFFFF"/>
        </w:rPr>
      </w:pPr>
      <w:r>
        <w:rPr>
          <w:rFonts w:ascii="仿宋_GB2312" w:hAnsi="仿宋" w:cs="宋体" w:hint="eastAsia"/>
          <w:snapToGrid w:val="0"/>
          <w:kern w:val="0"/>
          <w:szCs w:val="32"/>
          <w:shd w:val="clear" w:color="auto" w:fill="FFFFFF"/>
        </w:rPr>
        <w:t>4.应用反馈（分值5分，自评5分）</w:t>
      </w:r>
    </w:p>
    <w:p w14:paraId="10B23B02" w14:textId="77777777" w:rsidR="009C4F3C" w:rsidRDefault="00EF39FE">
      <w:pPr>
        <w:pStyle w:val="Style1"/>
        <w:widowControl/>
        <w:adjustRightInd w:val="0"/>
        <w:snapToGrid w:val="0"/>
        <w:spacing w:line="560" w:lineRule="exact"/>
        <w:ind w:firstLine="640"/>
        <w:jc w:val="left"/>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t>2023年科学城办事处在规定时间内向财政部门反馈了应用绩效结果报告，</w:t>
      </w:r>
      <w:r>
        <w:rPr>
          <w:rFonts w:ascii="仿宋_GB2312" w:hAnsi="仿宋_GB2312" w:cs="仿宋_GB2312" w:hint="eastAsia"/>
          <w:snapToGrid w:val="0"/>
          <w:kern w:val="0"/>
          <w:szCs w:val="32"/>
          <w:shd w:val="clear" w:color="auto" w:fill="FFFFFF"/>
        </w:rPr>
        <w:t>该项指标得5分</w:t>
      </w:r>
      <w:r>
        <w:rPr>
          <w:rFonts w:ascii="仿宋_GB2312" w:hAnsi="仿宋" w:cs="宋体" w:hint="eastAsia"/>
          <w:snapToGrid w:val="0"/>
          <w:kern w:val="0"/>
          <w:szCs w:val="32"/>
          <w:shd w:val="clear" w:color="auto" w:fill="FFFFFF"/>
        </w:rPr>
        <w:t>。</w:t>
      </w:r>
    </w:p>
    <w:p w14:paraId="208E80E3" w14:textId="77777777" w:rsidR="009C4F3C" w:rsidRDefault="00EF39FE">
      <w:pPr>
        <w:pStyle w:val="Style1"/>
        <w:widowControl/>
        <w:adjustRightInd w:val="0"/>
        <w:snapToGrid w:val="0"/>
        <w:spacing w:line="560" w:lineRule="exact"/>
        <w:ind w:firstLineChars="193" w:firstLine="618"/>
        <w:jc w:val="left"/>
        <w:rPr>
          <w:rFonts w:ascii="楷体_GB2312" w:eastAsia="楷体_GB2312" w:hAnsi="楷体_GB2312" w:cs="楷体_GB2312" w:hint="eastAsia"/>
          <w:snapToGrid w:val="0"/>
          <w:kern w:val="0"/>
          <w:szCs w:val="32"/>
          <w:shd w:val="clear" w:color="auto" w:fill="FFFFFF"/>
          <w:lang w:val="zh-CN"/>
        </w:rPr>
      </w:pPr>
      <w:r>
        <w:rPr>
          <w:rFonts w:ascii="楷体_GB2312" w:eastAsia="楷体_GB2312" w:hAnsi="楷体_GB2312" w:cs="楷体_GB2312" w:hint="eastAsia"/>
          <w:snapToGrid w:val="0"/>
          <w:kern w:val="0"/>
          <w:szCs w:val="32"/>
          <w:shd w:val="clear" w:color="auto" w:fill="FFFFFF"/>
          <w:lang w:val="zh-CN"/>
        </w:rPr>
        <w:fldChar w:fldCharType="begin"/>
      </w:r>
      <w:r>
        <w:rPr>
          <w:rFonts w:ascii="楷体_GB2312" w:eastAsia="楷体_GB2312" w:hAnsi="楷体_GB2312" w:cs="楷体_GB2312" w:hint="eastAsia"/>
          <w:snapToGrid w:val="0"/>
          <w:kern w:val="0"/>
          <w:szCs w:val="32"/>
          <w:shd w:val="clear" w:color="auto" w:fill="FFFFFF"/>
          <w:lang w:val="zh-CN"/>
        </w:rPr>
        <w:instrText xml:space="preserve"> = 4 \* GB4 \* MERGEFORMAT </w:instrText>
      </w:r>
      <w:r>
        <w:rPr>
          <w:rFonts w:ascii="楷体_GB2312" w:eastAsia="楷体_GB2312" w:hAnsi="楷体_GB2312" w:cs="楷体_GB2312" w:hint="eastAsia"/>
          <w:snapToGrid w:val="0"/>
          <w:kern w:val="0"/>
          <w:szCs w:val="32"/>
          <w:shd w:val="clear" w:color="auto" w:fill="FFFFFF"/>
          <w:lang w:val="zh-CN"/>
        </w:rPr>
        <w:fldChar w:fldCharType="separate"/>
      </w:r>
      <w:r>
        <w:t>㈣</w:t>
      </w:r>
      <w:r>
        <w:rPr>
          <w:rFonts w:ascii="楷体_GB2312" w:eastAsia="楷体_GB2312" w:hAnsi="楷体_GB2312" w:cs="楷体_GB2312" w:hint="eastAsia"/>
          <w:snapToGrid w:val="0"/>
          <w:kern w:val="0"/>
          <w:szCs w:val="32"/>
          <w:shd w:val="clear" w:color="auto" w:fill="FFFFFF"/>
          <w:lang w:val="zh-CN"/>
        </w:rPr>
        <w:fldChar w:fldCharType="end"/>
      </w:r>
      <w:r>
        <w:rPr>
          <w:rFonts w:ascii="楷体_GB2312" w:eastAsia="楷体_GB2312" w:hAnsi="楷体_GB2312" w:cs="楷体_GB2312" w:hint="eastAsia"/>
          <w:snapToGrid w:val="0"/>
          <w:kern w:val="0"/>
          <w:szCs w:val="32"/>
          <w:shd w:val="clear" w:color="auto" w:fill="FFFFFF"/>
          <w:lang w:val="zh-CN"/>
        </w:rPr>
        <w:t>自评质量</w:t>
      </w:r>
    </w:p>
    <w:p w14:paraId="15F3510B" w14:textId="547B6C6A" w:rsidR="009C4F3C" w:rsidRDefault="00EF39FE">
      <w:pPr>
        <w:pStyle w:val="Style1"/>
        <w:widowControl/>
        <w:adjustRightInd w:val="0"/>
        <w:snapToGrid w:val="0"/>
        <w:spacing w:line="560" w:lineRule="exact"/>
        <w:ind w:firstLineChars="193" w:firstLine="618"/>
        <w:jc w:val="left"/>
        <w:rPr>
          <w:rFonts w:ascii="仿宋_GB2312" w:hAnsi="宋体" w:cs="宋体" w:hint="eastAsia"/>
          <w:snapToGrid w:val="0"/>
          <w:kern w:val="0"/>
          <w:szCs w:val="32"/>
          <w:shd w:val="clear" w:color="auto" w:fill="FFFFFF"/>
        </w:rPr>
      </w:pPr>
      <w:r>
        <w:rPr>
          <w:rFonts w:ascii="仿宋_GB2312" w:hAnsi="宋体" w:cs="宋体" w:hint="eastAsia"/>
          <w:snapToGrid w:val="0"/>
          <w:kern w:val="0"/>
          <w:szCs w:val="32"/>
          <w:shd w:val="clear" w:color="auto" w:fill="FFFFFF"/>
          <w:lang w:val="zh-CN"/>
        </w:rPr>
        <w:t>严格按照《</w:t>
      </w:r>
      <w:r>
        <w:rPr>
          <w:rFonts w:ascii="仿宋_GB2312" w:hAnsi="宋体" w:cs="宋体" w:hint="eastAsia"/>
          <w:snapToGrid w:val="0"/>
          <w:kern w:val="0"/>
          <w:szCs w:val="32"/>
          <w:shd w:val="clear" w:color="auto" w:fill="FFFFFF"/>
        </w:rPr>
        <w:t>2024年省级部门整体绩效自评报告范本</w:t>
      </w:r>
      <w:r>
        <w:rPr>
          <w:rFonts w:ascii="仿宋_GB2312" w:hAnsi="宋体" w:cs="宋体" w:hint="eastAsia"/>
          <w:snapToGrid w:val="0"/>
          <w:kern w:val="0"/>
          <w:szCs w:val="32"/>
          <w:shd w:val="clear" w:color="auto" w:fill="FFFFFF"/>
          <w:lang w:val="zh-CN"/>
        </w:rPr>
        <w:t>》和《</w:t>
      </w:r>
      <w:r>
        <w:rPr>
          <w:rFonts w:ascii="仿宋_GB2312" w:hAnsi="宋体" w:cs="宋体" w:hint="eastAsia"/>
          <w:snapToGrid w:val="0"/>
          <w:kern w:val="0"/>
          <w:szCs w:val="32"/>
          <w:shd w:val="clear" w:color="auto" w:fill="FFFFFF"/>
        </w:rPr>
        <w:t>2024年省级部门整体绩效评价指标体系</w:t>
      </w:r>
      <w:r>
        <w:rPr>
          <w:rFonts w:ascii="仿宋_GB2312" w:hAnsi="宋体" w:cs="宋体" w:hint="eastAsia"/>
          <w:snapToGrid w:val="0"/>
          <w:kern w:val="0"/>
          <w:szCs w:val="32"/>
          <w:shd w:val="clear" w:color="auto" w:fill="FFFFFF"/>
          <w:lang w:val="zh-CN"/>
        </w:rPr>
        <w:t>》开展自评工作，</w:t>
      </w:r>
      <w:r>
        <w:rPr>
          <w:rFonts w:ascii="仿宋_GB2312" w:hAnsi="仿宋" w:cs="宋体" w:hint="eastAsia"/>
          <w:snapToGrid w:val="0"/>
          <w:kern w:val="0"/>
          <w:szCs w:val="32"/>
          <w:shd w:val="clear" w:color="auto" w:fill="FFFFFF"/>
        </w:rPr>
        <w:t>项目目标明确，资金到位及时，项目的组织管理有效，项目绩效目标基本实现。综上，项目总体评分为98.1分，评价等级为“优”。</w:t>
      </w:r>
    </w:p>
    <w:p w14:paraId="3278DEE6" w14:textId="77777777" w:rsidR="009C4F3C" w:rsidRDefault="00EF39FE">
      <w:pPr>
        <w:widowControl/>
        <w:adjustRightInd w:val="0"/>
        <w:snapToGrid w:val="0"/>
        <w:spacing w:line="560" w:lineRule="exact"/>
        <w:ind w:firstLineChars="193" w:firstLine="618"/>
        <w:contextualSpacing/>
        <w:jc w:val="left"/>
        <w:rPr>
          <w:rFonts w:ascii="黑体" w:eastAsia="黑体" w:hAnsi="宋体" w:cs="宋体" w:hint="eastAsia"/>
          <w:snapToGrid w:val="0"/>
          <w:color w:val="000000"/>
          <w:kern w:val="0"/>
          <w:sz w:val="32"/>
          <w:szCs w:val="32"/>
          <w:shd w:val="clear" w:color="auto" w:fill="FFFFFF"/>
        </w:rPr>
      </w:pPr>
      <w:r>
        <w:rPr>
          <w:rFonts w:ascii="黑体" w:eastAsia="黑体" w:hAnsi="宋体" w:cs="宋体" w:hint="eastAsia"/>
          <w:snapToGrid w:val="0"/>
          <w:color w:val="000000"/>
          <w:kern w:val="0"/>
          <w:sz w:val="32"/>
          <w:szCs w:val="32"/>
          <w:shd w:val="clear" w:color="auto" w:fill="FFFFFF"/>
        </w:rPr>
        <w:t>四、评价结论及建议</w:t>
      </w:r>
    </w:p>
    <w:p w14:paraId="620BF778" w14:textId="77777777" w:rsidR="009C4F3C" w:rsidRDefault="00EF39FE">
      <w:pPr>
        <w:widowControl/>
        <w:adjustRightInd w:val="0"/>
        <w:snapToGrid w:val="0"/>
        <w:spacing w:line="560" w:lineRule="exact"/>
        <w:ind w:firstLineChars="193" w:firstLine="618"/>
        <w:contextualSpacing/>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1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㈠</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评价结论</w:t>
      </w:r>
    </w:p>
    <w:p w14:paraId="00218F3D" w14:textId="6184C586" w:rsidR="009C4F3C" w:rsidRDefault="00EF39FE">
      <w:pPr>
        <w:pStyle w:val="Style1"/>
        <w:widowControl/>
        <w:adjustRightInd w:val="0"/>
        <w:snapToGrid w:val="0"/>
        <w:spacing w:line="560" w:lineRule="exact"/>
        <w:ind w:firstLineChars="193" w:firstLine="618"/>
        <w:jc w:val="left"/>
        <w:rPr>
          <w:rFonts w:ascii="仿宋_GB2312" w:hAnsi="仿宋" w:cs="宋体" w:hint="eastAsia"/>
          <w:snapToGrid w:val="0"/>
          <w:kern w:val="0"/>
          <w:szCs w:val="32"/>
          <w:shd w:val="clear" w:color="auto" w:fill="FFFFFF"/>
        </w:rPr>
      </w:pPr>
      <w:r>
        <w:rPr>
          <w:rFonts w:ascii="仿宋_GB2312" w:hAnsi="仿宋" w:cs="宋体" w:hint="eastAsia"/>
          <w:snapToGrid w:val="0"/>
          <w:kern w:val="0"/>
          <w:szCs w:val="32"/>
          <w:shd w:val="clear" w:color="auto" w:fill="FFFFFF"/>
        </w:rPr>
        <w:t>省人民政府科学城办事处管理制度健全，管理规范，预算编制及执行情况较好，整体支出合规，资产管理到位；我们高度重视自身建设和能力提升，全方位履行政府职能，为辖区居民营造出优质的社会环境</w:t>
      </w:r>
      <w:r>
        <w:rPr>
          <w:rFonts w:ascii="仿宋_GB2312" w:hAnsi="仿宋" w:cs="宋体"/>
          <w:snapToGrid w:val="0"/>
          <w:kern w:val="0"/>
          <w:szCs w:val="32"/>
          <w:shd w:val="clear" w:color="auto" w:fill="FFFFFF"/>
        </w:rPr>
        <w:t>。</w:t>
      </w:r>
      <w:r>
        <w:rPr>
          <w:rFonts w:ascii="仿宋_GB2312" w:hAnsi="仿宋" w:cs="宋体" w:hint="eastAsia"/>
          <w:snapToGrid w:val="0"/>
          <w:kern w:val="0"/>
          <w:szCs w:val="32"/>
          <w:shd w:val="clear" w:color="auto" w:fill="FFFFFF"/>
        </w:rPr>
        <w:t>根据《财政厅关于开展2023年度省级部门绩效自评工作的通知》文件相关要求对本单位2023年整体绩效情况进行了自评。自评体系总分100分，经逐条考核，我单位自评得分98.1分。</w:t>
      </w:r>
    </w:p>
    <w:p w14:paraId="2280C611" w14:textId="77777777" w:rsidR="009C4F3C" w:rsidRDefault="00EF39FE">
      <w:pPr>
        <w:widowControl/>
        <w:adjustRightInd w:val="0"/>
        <w:snapToGrid w:val="0"/>
        <w:spacing w:line="560" w:lineRule="exact"/>
        <w:ind w:firstLineChars="193" w:firstLine="618"/>
        <w:contextualSpacing/>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lastRenderedPageBreak/>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2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㈡</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存在问题</w:t>
      </w:r>
    </w:p>
    <w:p w14:paraId="413B48C7" w14:textId="77777777" w:rsidR="009C4F3C" w:rsidRDefault="00EF39FE">
      <w:pPr>
        <w:widowControl/>
        <w:adjustRightInd w:val="0"/>
        <w:snapToGrid w:val="0"/>
        <w:spacing w:line="560" w:lineRule="exact"/>
        <w:ind w:firstLineChars="193" w:firstLine="618"/>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部门预算前期执行力度不够，项目资金支出时间过于集中；</w:t>
      </w:r>
    </w:p>
    <w:p w14:paraId="1A63D0EA" w14:textId="77777777" w:rsidR="009C4F3C" w:rsidRDefault="00EF39FE">
      <w:pPr>
        <w:widowControl/>
        <w:adjustRightInd w:val="0"/>
        <w:snapToGrid w:val="0"/>
        <w:spacing w:line="560" w:lineRule="exact"/>
        <w:ind w:firstLineChars="193" w:firstLine="618"/>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绩效评价工作事中监督力度不够，对预算项目资金在实际执行过程中没有起到相应的调节作用；</w:t>
      </w:r>
    </w:p>
    <w:p w14:paraId="02525397" w14:textId="77777777" w:rsidR="009C4F3C" w:rsidRDefault="00EF39FE">
      <w:pPr>
        <w:widowControl/>
        <w:adjustRightInd w:val="0"/>
        <w:snapToGrid w:val="0"/>
        <w:spacing w:line="560" w:lineRule="exact"/>
        <w:ind w:firstLineChars="193" w:firstLine="618"/>
        <w:jc w:val="left"/>
        <w:rPr>
          <w:rFonts w:ascii="仿宋_GB2312" w:eastAsia="仿宋_GB2312" w:hAnsi="仿宋_GB2312" w:cs="仿宋_GB2312" w:hint="eastAsia"/>
          <w:snapToGrid w:val="0"/>
          <w:kern w:val="0"/>
          <w:sz w:val="32"/>
          <w:szCs w:val="32"/>
          <w:shd w:val="clear" w:color="auto" w:fill="FFFFFF"/>
        </w:rPr>
      </w:pPr>
      <w:r>
        <w:rPr>
          <w:rFonts w:ascii="仿宋_GB2312" w:eastAsia="仿宋_GB2312" w:hAnsi="仿宋_GB2312" w:cs="仿宋_GB2312" w:hint="eastAsia"/>
          <w:snapToGrid w:val="0"/>
          <w:kern w:val="0"/>
          <w:sz w:val="32"/>
          <w:szCs w:val="32"/>
          <w:shd w:val="clear" w:color="auto" w:fill="FFFFFF"/>
        </w:rPr>
        <w:t>在保障院事业发展上，资源配置和保障力度还不够；在保障民生上，辖区优质公共服务供给总量不足与配置不均衡并存，在社会保障、环境改善、休闲娱乐等方面不能满足职工居民的更高要求和期待；在政府自身建设上，人力资源困境依然突出，服务意识有待加强、服务质量有待提高。</w:t>
      </w:r>
    </w:p>
    <w:p w14:paraId="2B5D6C46" w14:textId="77777777" w:rsidR="009C4F3C" w:rsidRDefault="00EF39FE">
      <w:pPr>
        <w:widowControl/>
        <w:adjustRightInd w:val="0"/>
        <w:snapToGrid w:val="0"/>
        <w:spacing w:line="560" w:lineRule="exact"/>
        <w:ind w:firstLineChars="193" w:firstLine="618"/>
        <w:contextualSpacing/>
        <w:jc w:val="left"/>
        <w:rPr>
          <w:rFonts w:ascii="楷体_GB2312" w:eastAsia="楷体_GB2312" w:hAnsi="楷体_GB2312" w:cs="楷体_GB2312" w:hint="eastAsia"/>
          <w:snapToGrid w:val="0"/>
          <w:color w:val="000000"/>
          <w:kern w:val="0"/>
          <w:sz w:val="32"/>
          <w:szCs w:val="32"/>
          <w:shd w:val="clear" w:color="auto" w:fill="FFFFFF"/>
          <w:lang w:val="zh-CN"/>
        </w:rPr>
      </w:pPr>
      <w:r>
        <w:rPr>
          <w:rFonts w:ascii="楷体_GB2312" w:eastAsia="楷体_GB2312" w:hAnsi="楷体_GB2312" w:cs="楷体_GB2312" w:hint="eastAsia"/>
          <w:snapToGrid w:val="0"/>
          <w:color w:val="000000"/>
          <w:kern w:val="0"/>
          <w:sz w:val="32"/>
          <w:szCs w:val="32"/>
          <w:shd w:val="clear" w:color="auto" w:fill="FFFFFF"/>
          <w:lang w:val="zh-CN"/>
        </w:rPr>
        <w:fldChar w:fldCharType="begin"/>
      </w:r>
      <w:r>
        <w:rPr>
          <w:rFonts w:ascii="楷体_GB2312" w:eastAsia="楷体_GB2312" w:hAnsi="楷体_GB2312" w:cs="楷体_GB2312" w:hint="eastAsia"/>
          <w:snapToGrid w:val="0"/>
          <w:color w:val="000000"/>
          <w:kern w:val="0"/>
          <w:sz w:val="32"/>
          <w:szCs w:val="32"/>
          <w:shd w:val="clear" w:color="auto" w:fill="FFFFFF"/>
          <w:lang w:val="zh-CN"/>
        </w:rPr>
        <w:instrText xml:space="preserve"> = 3 \* GB4 \* MERGEFORMAT </w:instrText>
      </w:r>
      <w:r>
        <w:rPr>
          <w:rFonts w:ascii="楷体_GB2312" w:eastAsia="楷体_GB2312" w:hAnsi="楷体_GB2312" w:cs="楷体_GB2312" w:hint="eastAsia"/>
          <w:snapToGrid w:val="0"/>
          <w:color w:val="000000"/>
          <w:kern w:val="0"/>
          <w:sz w:val="32"/>
          <w:szCs w:val="32"/>
          <w:shd w:val="clear" w:color="auto" w:fill="FFFFFF"/>
          <w:lang w:val="zh-CN"/>
        </w:rPr>
        <w:fldChar w:fldCharType="separate"/>
      </w:r>
      <w:r>
        <w:rPr>
          <w:rFonts w:ascii="楷体_GB2312" w:eastAsia="楷体_GB2312" w:hAnsi="楷体_GB2312" w:cs="楷体_GB2312" w:hint="eastAsia"/>
          <w:snapToGrid w:val="0"/>
          <w:color w:val="000000"/>
          <w:kern w:val="0"/>
          <w:sz w:val="32"/>
          <w:szCs w:val="32"/>
          <w:shd w:val="clear" w:color="auto" w:fill="FFFFFF"/>
          <w:lang w:val="zh-CN"/>
        </w:rPr>
        <w:t>㈢</w:t>
      </w:r>
      <w:r>
        <w:rPr>
          <w:rFonts w:ascii="楷体_GB2312" w:eastAsia="楷体_GB2312" w:hAnsi="楷体_GB2312" w:cs="楷体_GB2312" w:hint="eastAsia"/>
          <w:snapToGrid w:val="0"/>
          <w:color w:val="000000"/>
          <w:kern w:val="0"/>
          <w:sz w:val="32"/>
          <w:szCs w:val="32"/>
          <w:shd w:val="clear" w:color="auto" w:fill="FFFFFF"/>
          <w:lang w:val="zh-CN"/>
        </w:rPr>
        <w:fldChar w:fldCharType="end"/>
      </w:r>
      <w:r>
        <w:rPr>
          <w:rFonts w:ascii="楷体_GB2312" w:eastAsia="楷体_GB2312" w:hAnsi="楷体_GB2312" w:cs="楷体_GB2312" w:hint="eastAsia"/>
          <w:snapToGrid w:val="0"/>
          <w:color w:val="000000"/>
          <w:kern w:val="0"/>
          <w:sz w:val="32"/>
          <w:szCs w:val="32"/>
          <w:shd w:val="clear" w:color="auto" w:fill="FFFFFF"/>
          <w:lang w:val="zh-CN"/>
        </w:rPr>
        <w:t>改进建议</w:t>
      </w:r>
    </w:p>
    <w:p w14:paraId="3A0F778C" w14:textId="77777777" w:rsidR="009C4F3C" w:rsidRDefault="00EF39FE">
      <w:pPr>
        <w:widowControl/>
        <w:adjustRightInd w:val="0"/>
        <w:snapToGrid w:val="0"/>
        <w:spacing w:line="560" w:lineRule="exact"/>
        <w:ind w:firstLineChars="193" w:firstLine="618"/>
        <w:contextualSpacing/>
        <w:jc w:val="left"/>
        <w:rPr>
          <w:rFonts w:ascii="方正小标宋简体" w:eastAsia="仿宋_GB2312" w:hAnsi="方正小标宋简体" w:cs="方正小标宋简体" w:hint="eastAsia"/>
          <w:snapToGrid w:val="0"/>
          <w:sz w:val="44"/>
          <w:szCs w:val="44"/>
        </w:rPr>
      </w:pPr>
      <w:r>
        <w:rPr>
          <w:rFonts w:ascii="仿宋_GB2312" w:eastAsia="仿宋_GB2312" w:hAnsi="仿宋_GB2312" w:cs="仿宋_GB2312" w:hint="eastAsia"/>
          <w:snapToGrid w:val="0"/>
          <w:kern w:val="0"/>
          <w:sz w:val="32"/>
          <w:szCs w:val="32"/>
          <w:shd w:val="clear" w:color="auto" w:fill="FFFFFF"/>
        </w:rPr>
        <w:t>2024年需要进一步加强绩效目标管理，坚持问题导向，有的放矢，精准施策。督促项目资金使用部门合理安排资金，提高项目资金前期执行率；强化部门绩效事中监督调整力度，及时调整预算资金；采取有效措施建立起满足中物院事业发展需要、符合辖区实际、具有自身特色的精干高效的管理体系。</w:t>
      </w:r>
    </w:p>
    <w:p w14:paraId="7E6A1697" w14:textId="77777777" w:rsidR="009C4F3C" w:rsidRDefault="009C4F3C">
      <w:pPr>
        <w:widowControl/>
        <w:jc w:val="left"/>
        <w:rPr>
          <w:rStyle w:val="10"/>
          <w:rFonts w:ascii="黑体" w:eastAsia="黑体" w:hAnsi="黑体" w:hint="eastAsia"/>
          <w:b w:val="0"/>
        </w:rPr>
        <w:sectPr w:rsidR="009C4F3C">
          <w:headerReference w:type="default" r:id="rId16"/>
          <w:footerReference w:type="default" r:id="rId17"/>
          <w:footerReference w:type="first" r:id="rId18"/>
          <w:pgSz w:w="11906" w:h="16838"/>
          <w:pgMar w:top="2098" w:right="1474" w:bottom="1985" w:left="1588" w:header="851" w:footer="992" w:gutter="0"/>
          <w:pgNumType w:start="1"/>
          <w:cols w:space="425"/>
          <w:titlePg/>
          <w:docGrid w:type="lines" w:linePitch="312"/>
        </w:sectPr>
      </w:pPr>
    </w:p>
    <w:tbl>
      <w:tblPr>
        <w:tblW w:w="14349" w:type="dxa"/>
        <w:tblInd w:w="-948" w:type="dxa"/>
        <w:tblLayout w:type="fixed"/>
        <w:tblCellMar>
          <w:top w:w="15" w:type="dxa"/>
          <w:left w:w="15" w:type="dxa"/>
          <w:bottom w:w="15" w:type="dxa"/>
          <w:right w:w="15" w:type="dxa"/>
        </w:tblCellMar>
        <w:tblLook w:val="04A0" w:firstRow="1" w:lastRow="0" w:firstColumn="1" w:lastColumn="0" w:noHBand="0" w:noVBand="1"/>
      </w:tblPr>
      <w:tblGrid>
        <w:gridCol w:w="972"/>
        <w:gridCol w:w="2028"/>
        <w:gridCol w:w="1252"/>
        <w:gridCol w:w="607"/>
        <w:gridCol w:w="2187"/>
        <w:gridCol w:w="971"/>
        <w:gridCol w:w="972"/>
        <w:gridCol w:w="972"/>
        <w:gridCol w:w="411"/>
        <w:gridCol w:w="561"/>
        <w:gridCol w:w="411"/>
        <w:gridCol w:w="560"/>
        <w:gridCol w:w="971"/>
        <w:gridCol w:w="1382"/>
        <w:gridCol w:w="23"/>
        <w:gridCol w:w="69"/>
      </w:tblGrid>
      <w:tr w:rsidR="009C4F3C" w14:paraId="3B8D1582" w14:textId="77777777">
        <w:trPr>
          <w:gridAfter w:val="2"/>
          <w:wAfter w:w="92" w:type="dxa"/>
          <w:trHeight w:val="385"/>
        </w:trPr>
        <w:tc>
          <w:tcPr>
            <w:tcW w:w="14257"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46F18BCD" w14:textId="77777777" w:rsidR="009C4F3C" w:rsidRDefault="00EF39FE">
            <w:pPr>
              <w:widowControl/>
              <w:jc w:val="center"/>
              <w:textAlignment w:val="center"/>
              <w:rPr>
                <w:rFonts w:ascii="黑体" w:eastAsia="黑体" w:hAnsi="宋体" w:cs="黑体" w:hint="eastAsia"/>
                <w:b/>
                <w:color w:val="000000"/>
                <w:sz w:val="30"/>
                <w:szCs w:val="30"/>
              </w:rPr>
            </w:pPr>
            <w:r>
              <w:rPr>
                <w:rFonts w:ascii="黑体" w:eastAsia="黑体" w:hAnsi="宋体" w:cs="黑体" w:hint="eastAsia"/>
                <w:b/>
                <w:color w:val="000000"/>
                <w:kern w:val="0"/>
                <w:sz w:val="30"/>
                <w:szCs w:val="30"/>
              </w:rPr>
              <w:lastRenderedPageBreak/>
              <w:t>部门预算项目支出绩效自评表（2022年度）</w:t>
            </w:r>
          </w:p>
        </w:tc>
      </w:tr>
      <w:tr w:rsidR="009C4F3C" w14:paraId="73169D84" w14:textId="77777777">
        <w:trPr>
          <w:gridAfter w:val="2"/>
          <w:wAfter w:w="92" w:type="dxa"/>
          <w:trHeight w:val="228"/>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7EF47E"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项目名称</w:t>
            </w:r>
          </w:p>
        </w:tc>
        <w:tc>
          <w:tcPr>
            <w:tcW w:w="11257"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57765E90"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51000021Y000000011494-单位运转项目</w:t>
            </w:r>
          </w:p>
        </w:tc>
      </w:tr>
      <w:tr w:rsidR="009C4F3C" w14:paraId="74CCD39E" w14:textId="77777777">
        <w:trPr>
          <w:gridAfter w:val="2"/>
          <w:wAfter w:w="92" w:type="dxa"/>
          <w:trHeight w:val="432"/>
        </w:trPr>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A5BDAD"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主管部门</w:t>
            </w:r>
          </w:p>
        </w:tc>
        <w:tc>
          <w:tcPr>
            <w:tcW w:w="73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26A5EE8"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省政府科学城办事处部门</w:t>
            </w:r>
          </w:p>
        </w:tc>
        <w:tc>
          <w:tcPr>
            <w:tcW w:w="972" w:type="dxa"/>
            <w:gridSpan w:val="2"/>
            <w:shd w:val="clear" w:color="auto" w:fill="auto"/>
            <w:vAlign w:val="center"/>
          </w:tcPr>
          <w:p w14:paraId="45C7A194" w14:textId="77777777" w:rsidR="009C4F3C" w:rsidRDefault="00EF39FE">
            <w:pPr>
              <w:widowControl/>
              <w:jc w:val="left"/>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实施单位 （盖章）</w:t>
            </w:r>
          </w:p>
        </w:tc>
        <w:tc>
          <w:tcPr>
            <w:tcW w:w="29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8E868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省政府科学城办事处</w:t>
            </w:r>
          </w:p>
        </w:tc>
      </w:tr>
      <w:tr w:rsidR="009C4F3C" w14:paraId="61124C38" w14:textId="77777777">
        <w:trPr>
          <w:gridAfter w:val="2"/>
          <w:wAfter w:w="92" w:type="dxa"/>
          <w:trHeight w:val="228"/>
        </w:trPr>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DF5306"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项</w:t>
            </w:r>
          </w:p>
          <w:p w14:paraId="42810C7C"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目</w:t>
            </w:r>
          </w:p>
          <w:p w14:paraId="6BC8BBE6"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基</w:t>
            </w:r>
          </w:p>
          <w:p w14:paraId="0EDD5201"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本</w:t>
            </w:r>
          </w:p>
          <w:p w14:paraId="5B9FB61F"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情</w:t>
            </w:r>
          </w:p>
          <w:p w14:paraId="191AA13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况</w:t>
            </w:r>
          </w:p>
        </w:tc>
        <w:tc>
          <w:tcPr>
            <w:tcW w:w="20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A7D901"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1.项目年度目标完成情况</w:t>
            </w:r>
          </w:p>
        </w:tc>
        <w:tc>
          <w:tcPr>
            <w:tcW w:w="73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B3CD84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项目年度目标</w:t>
            </w:r>
          </w:p>
        </w:tc>
        <w:tc>
          <w:tcPr>
            <w:tcW w:w="388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41D844" w14:textId="77777777" w:rsidR="009C4F3C" w:rsidRDefault="00EF39FE">
            <w:pPr>
              <w:widowControl/>
              <w:jc w:val="center"/>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年度目标完成情况</w:t>
            </w:r>
          </w:p>
        </w:tc>
      </w:tr>
      <w:tr w:rsidR="009C4F3C" w14:paraId="4F3B68AB" w14:textId="77777777">
        <w:trPr>
          <w:gridAfter w:val="2"/>
          <w:wAfter w:w="92" w:type="dxa"/>
          <w:trHeight w:val="1417"/>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02DDEF" w14:textId="77777777" w:rsidR="009C4F3C" w:rsidRDefault="009C4F3C">
            <w:pP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08C849" w14:textId="77777777" w:rsidR="009C4F3C" w:rsidRDefault="009C4F3C">
            <w:pPr>
              <w:rPr>
                <w:rFonts w:ascii="宋体" w:hAnsi="宋体" w:cs="宋体" w:hint="eastAsia"/>
                <w:color w:val="000000"/>
                <w:sz w:val="18"/>
                <w:szCs w:val="18"/>
              </w:rPr>
            </w:pPr>
          </w:p>
        </w:tc>
        <w:tc>
          <w:tcPr>
            <w:tcW w:w="73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6F83D4E"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通过该项目实施，进一步提升行政效能，提高行政执法水平，保证平安科学城建设的稳步持续推进；促进公共服务与社会管理能力不断提升，民生、文化教育、公共卫生事业不断发展，市场经济秩序规范有序，城市环境卫生不断完善，开展社区标准化、制度化、信息化建设，提升社区自治和服务水平，打造“一居一特色”具有科学城文化特点的和谐社区。</w:t>
            </w:r>
          </w:p>
        </w:tc>
        <w:tc>
          <w:tcPr>
            <w:tcW w:w="388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C54E0A8"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完成了改革发展、科研保障、民生保障、城市建管、政务服务、行政执法、疫情防控、扶贫帮扶各方面工作。</w:t>
            </w:r>
          </w:p>
        </w:tc>
      </w:tr>
      <w:tr w:rsidR="009C4F3C" w14:paraId="08AB349E" w14:textId="77777777">
        <w:trPr>
          <w:gridAfter w:val="2"/>
          <w:wAfter w:w="92" w:type="dxa"/>
          <w:trHeight w:val="853"/>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B4795" w14:textId="77777777" w:rsidR="009C4F3C" w:rsidRDefault="009C4F3C">
            <w:pPr>
              <w:rPr>
                <w:rFonts w:ascii="宋体" w:hAnsi="宋体" w:cs="宋体" w:hint="eastAsia"/>
                <w:color w:val="000000"/>
                <w:sz w:val="18"/>
                <w:szCs w:val="18"/>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5E257"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2.项目实施内容及过程概述</w:t>
            </w:r>
          </w:p>
        </w:tc>
        <w:tc>
          <w:tcPr>
            <w:tcW w:w="11257"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57A8FAD2"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根据完成了保障科学城社会管理事务专项、科学城天网运行维护、人防工程运行维护、信息化运行维护、辖区食品药品安全保障、辖区道路及市政设施维修维护及科学城城区生活垃圾处置等重点工作任务。</w:t>
            </w:r>
          </w:p>
        </w:tc>
      </w:tr>
      <w:tr w:rsidR="009C4F3C" w14:paraId="75632DC9" w14:textId="77777777">
        <w:trPr>
          <w:gridAfter w:val="1"/>
          <w:wAfter w:w="69" w:type="dxa"/>
          <w:trHeight w:val="432"/>
        </w:trPr>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0E3B36"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预</w:t>
            </w:r>
          </w:p>
          <w:p w14:paraId="5C0247BA"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算</w:t>
            </w:r>
          </w:p>
          <w:p w14:paraId="5E86A4DA"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执</w:t>
            </w:r>
          </w:p>
          <w:p w14:paraId="6E6F29D1"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行</w:t>
            </w:r>
          </w:p>
          <w:p w14:paraId="39A422F9"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情</w:t>
            </w:r>
          </w:p>
          <w:p w14:paraId="68DE8199"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况</w:t>
            </w:r>
          </w:p>
          <w:p w14:paraId="3B1EADF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（10分）</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3A47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年度预算数（万元）</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9E9C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年初预算</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1A9B7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调整后预算数</w:t>
            </w:r>
          </w:p>
        </w:tc>
        <w:tc>
          <w:tcPr>
            <w:tcW w:w="29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CAD6B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预算执行数</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9CAE1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预算执行率</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D02A6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权重</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7C77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得分</w:t>
            </w:r>
          </w:p>
        </w:tc>
        <w:tc>
          <w:tcPr>
            <w:tcW w:w="1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AD4CA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原因</w:t>
            </w:r>
          </w:p>
        </w:tc>
      </w:tr>
      <w:tr w:rsidR="009C4F3C" w14:paraId="5F4E7580" w14:textId="77777777">
        <w:trPr>
          <w:gridAfter w:val="1"/>
          <w:wAfter w:w="69" w:type="dxa"/>
          <w:trHeight w:val="228"/>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E066E9" w14:textId="77777777" w:rsidR="009C4F3C" w:rsidRDefault="009C4F3C">
            <w:pPr>
              <w:jc w:val="center"/>
              <w:rPr>
                <w:rFonts w:ascii="宋体" w:hAnsi="宋体" w:cs="宋体" w:hint="eastAsia"/>
                <w:color w:val="000000"/>
                <w:sz w:val="18"/>
                <w:szCs w:val="18"/>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8F24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总额</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279F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rPr>
              <w:t>1221.32</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9D9DB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rPr>
              <w:t>1221.32</w:t>
            </w:r>
          </w:p>
        </w:tc>
        <w:tc>
          <w:tcPr>
            <w:tcW w:w="29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B977E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rPr>
              <w:t>1221.32</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390E9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rPr>
              <w:t>100.00</w:t>
            </w:r>
            <w:r>
              <w:rPr>
                <w:rFonts w:ascii="宋体" w:hAnsi="宋体" w:cs="宋体"/>
                <w:color w:val="000000"/>
                <w:kern w:val="0"/>
                <w:sz w:val="18"/>
                <w:szCs w:val="18"/>
              </w:rPr>
              <w:t>%</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F1898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4DAD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10</w:t>
            </w:r>
          </w:p>
        </w:tc>
        <w:tc>
          <w:tcPr>
            <w:tcW w:w="14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BBBD01" w14:textId="77777777" w:rsidR="009C4F3C" w:rsidRDefault="009C4F3C">
            <w:pPr>
              <w:rPr>
                <w:rFonts w:ascii="黑体" w:eastAsia="黑体" w:hAnsi="黑体" w:cs="黑体" w:hint="eastAsia"/>
                <w:i/>
                <w:color w:val="000000"/>
                <w:sz w:val="18"/>
                <w:szCs w:val="18"/>
              </w:rPr>
            </w:pPr>
          </w:p>
        </w:tc>
      </w:tr>
      <w:tr w:rsidR="009C4F3C" w14:paraId="0A8FE106" w14:textId="77777777">
        <w:trPr>
          <w:gridAfter w:val="1"/>
          <w:wAfter w:w="69" w:type="dxa"/>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FE9ACC" w14:textId="77777777" w:rsidR="009C4F3C" w:rsidRDefault="009C4F3C">
            <w:pPr>
              <w:jc w:val="center"/>
              <w:rPr>
                <w:rFonts w:ascii="宋体" w:hAnsi="宋体" w:cs="宋体" w:hint="eastAsia"/>
                <w:color w:val="000000"/>
                <w:sz w:val="18"/>
                <w:szCs w:val="18"/>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5622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其中：财政资金</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2FDB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rPr>
              <w:t>1221.32</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9BE18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rPr>
              <w:t>1221.32</w:t>
            </w:r>
          </w:p>
        </w:tc>
        <w:tc>
          <w:tcPr>
            <w:tcW w:w="29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2874B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rPr>
              <w:t>1221.32</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11E3B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hint="eastAsia"/>
                <w:color w:val="000000"/>
                <w:kern w:val="0"/>
                <w:sz w:val="18"/>
                <w:szCs w:val="18"/>
              </w:rPr>
              <w:t>100.00</w:t>
            </w:r>
            <w:r>
              <w:rPr>
                <w:rFonts w:ascii="宋体" w:hAnsi="宋体" w:cs="宋体"/>
                <w:color w:val="000000"/>
                <w:kern w:val="0"/>
                <w:sz w:val="18"/>
                <w:szCs w:val="18"/>
              </w:rPr>
              <w:t>%</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5B05C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A8D9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140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15FCCB" w14:textId="77777777" w:rsidR="009C4F3C" w:rsidRDefault="009C4F3C">
            <w:pPr>
              <w:rPr>
                <w:rFonts w:ascii="黑体" w:eastAsia="黑体" w:hAnsi="黑体" w:cs="黑体" w:hint="eastAsia"/>
                <w:i/>
                <w:color w:val="000000"/>
                <w:sz w:val="18"/>
                <w:szCs w:val="18"/>
              </w:rPr>
            </w:pPr>
          </w:p>
        </w:tc>
      </w:tr>
      <w:tr w:rsidR="009C4F3C" w14:paraId="0FCF0F1B" w14:textId="77777777">
        <w:trPr>
          <w:gridAfter w:val="1"/>
          <w:wAfter w:w="69" w:type="dxa"/>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B85E99" w14:textId="77777777" w:rsidR="009C4F3C" w:rsidRDefault="009C4F3C">
            <w:pPr>
              <w:jc w:val="center"/>
              <w:rPr>
                <w:rFonts w:ascii="宋体" w:hAnsi="宋体" w:cs="宋体" w:hint="eastAsia"/>
                <w:color w:val="000000"/>
                <w:sz w:val="18"/>
                <w:szCs w:val="18"/>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1EEF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财政专户管理资金</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A773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0.00</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8B626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0.00</w:t>
            </w:r>
          </w:p>
        </w:tc>
        <w:tc>
          <w:tcPr>
            <w:tcW w:w="29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49D2F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0.00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2F429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0.00%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1B8F0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ABB0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140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F62AA6" w14:textId="77777777" w:rsidR="009C4F3C" w:rsidRDefault="009C4F3C">
            <w:pPr>
              <w:rPr>
                <w:rFonts w:ascii="黑体" w:eastAsia="黑体" w:hAnsi="黑体" w:cs="黑体" w:hint="eastAsia"/>
                <w:i/>
                <w:color w:val="000000"/>
                <w:sz w:val="18"/>
                <w:szCs w:val="18"/>
              </w:rPr>
            </w:pPr>
          </w:p>
        </w:tc>
      </w:tr>
      <w:tr w:rsidR="009C4F3C" w14:paraId="42AA1B3B" w14:textId="77777777">
        <w:trPr>
          <w:gridAfter w:val="1"/>
          <w:wAfter w:w="69" w:type="dxa"/>
          <w:trHeight w:val="228"/>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832866" w14:textId="77777777" w:rsidR="009C4F3C" w:rsidRDefault="009C4F3C">
            <w:pPr>
              <w:jc w:val="center"/>
              <w:rPr>
                <w:rFonts w:ascii="宋体" w:hAnsi="宋体" w:cs="宋体" w:hint="eastAsia"/>
                <w:color w:val="000000"/>
                <w:sz w:val="18"/>
                <w:szCs w:val="18"/>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17D4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单位资金</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F53A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0.00</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D7E44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0.00</w:t>
            </w:r>
          </w:p>
        </w:tc>
        <w:tc>
          <w:tcPr>
            <w:tcW w:w="29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5CAE9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0.00</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A29F0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0.00%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BB0CD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9147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140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C1E639" w14:textId="77777777" w:rsidR="009C4F3C" w:rsidRDefault="009C4F3C">
            <w:pPr>
              <w:rPr>
                <w:rFonts w:ascii="黑体" w:eastAsia="黑体" w:hAnsi="黑体" w:cs="黑体" w:hint="eastAsia"/>
                <w:i/>
                <w:color w:val="000000"/>
                <w:sz w:val="18"/>
                <w:szCs w:val="18"/>
              </w:rPr>
            </w:pPr>
          </w:p>
        </w:tc>
      </w:tr>
      <w:tr w:rsidR="009C4F3C" w14:paraId="789A776F" w14:textId="77777777">
        <w:trPr>
          <w:gridAfter w:val="1"/>
          <w:wAfter w:w="69" w:type="dxa"/>
          <w:trHeight w:val="228"/>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E39076" w14:textId="77777777" w:rsidR="009C4F3C" w:rsidRDefault="009C4F3C">
            <w:pPr>
              <w:jc w:val="center"/>
              <w:rPr>
                <w:rFonts w:ascii="宋体" w:hAnsi="宋体" w:cs="宋体" w:hint="eastAsia"/>
                <w:color w:val="000000"/>
                <w:sz w:val="18"/>
                <w:szCs w:val="18"/>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B32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其他资金</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B4A38" w14:textId="77777777" w:rsidR="009C4F3C" w:rsidRDefault="009C4F3C">
            <w:pPr>
              <w:jc w:val="center"/>
              <w:rPr>
                <w:rFonts w:ascii="微软雅黑" w:eastAsia="微软雅黑" w:hAnsi="微软雅黑" w:cs="微软雅黑" w:hint="eastAsia"/>
                <w:i/>
                <w:color w:val="000000"/>
                <w:sz w:val="16"/>
                <w:szCs w:val="16"/>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EB18C4" w14:textId="77777777" w:rsidR="009C4F3C" w:rsidRDefault="009C4F3C">
            <w:pPr>
              <w:jc w:val="center"/>
              <w:rPr>
                <w:rFonts w:ascii="微软雅黑" w:eastAsia="微软雅黑" w:hAnsi="微软雅黑" w:cs="微软雅黑" w:hint="eastAsia"/>
                <w:i/>
                <w:color w:val="000000"/>
                <w:sz w:val="16"/>
                <w:szCs w:val="16"/>
              </w:rPr>
            </w:pPr>
          </w:p>
        </w:tc>
        <w:tc>
          <w:tcPr>
            <w:tcW w:w="29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21E98C" w14:textId="77777777" w:rsidR="009C4F3C" w:rsidRDefault="009C4F3C">
            <w:pPr>
              <w:jc w:val="center"/>
              <w:rPr>
                <w:rFonts w:ascii="微软雅黑" w:eastAsia="微软雅黑" w:hAnsi="微软雅黑" w:cs="微软雅黑" w:hint="eastAsia"/>
                <w:i/>
                <w:color w:val="000000"/>
                <w:sz w:val="16"/>
                <w:szCs w:val="16"/>
              </w:rPr>
            </w:pP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099199" w14:textId="77777777" w:rsidR="009C4F3C" w:rsidRDefault="009C4F3C">
            <w:pPr>
              <w:jc w:val="center"/>
              <w:rPr>
                <w:rFonts w:ascii="微软雅黑" w:eastAsia="微软雅黑" w:hAnsi="微软雅黑" w:cs="微软雅黑" w:hint="eastAsia"/>
                <w:i/>
                <w:color w:val="000000"/>
                <w:sz w:val="16"/>
                <w:szCs w:val="16"/>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23907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9349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140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1444A6" w14:textId="77777777" w:rsidR="009C4F3C" w:rsidRDefault="009C4F3C">
            <w:pPr>
              <w:rPr>
                <w:rFonts w:ascii="黑体" w:eastAsia="黑体" w:hAnsi="黑体" w:cs="黑体" w:hint="eastAsia"/>
                <w:i/>
                <w:color w:val="000000"/>
                <w:sz w:val="18"/>
                <w:szCs w:val="18"/>
              </w:rPr>
            </w:pPr>
          </w:p>
        </w:tc>
      </w:tr>
      <w:tr w:rsidR="009C4F3C" w14:paraId="359422D3" w14:textId="77777777">
        <w:trPr>
          <w:gridAfter w:val="1"/>
          <w:wAfter w:w="69" w:type="dxa"/>
          <w:trHeight w:val="432"/>
        </w:trPr>
        <w:tc>
          <w:tcPr>
            <w:tcW w:w="9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E4C313"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绩</w:t>
            </w:r>
          </w:p>
          <w:p w14:paraId="5B1CA384"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效</w:t>
            </w:r>
          </w:p>
          <w:p w14:paraId="74B9E334"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指</w:t>
            </w:r>
          </w:p>
          <w:p w14:paraId="1A4E4372" w14:textId="77777777" w:rsidR="009C4F3C" w:rsidRDefault="00EF39FE">
            <w:pPr>
              <w:widowControl/>
              <w:jc w:val="center"/>
              <w:textAlignment w:val="center"/>
              <w:rPr>
                <w:rFonts w:ascii="宋体" w:hAnsi="宋体" w:cs="宋体" w:hint="eastAsia"/>
                <w:color w:val="000000"/>
                <w:kern w:val="0"/>
                <w:sz w:val="18"/>
                <w:szCs w:val="18"/>
              </w:rPr>
            </w:pPr>
            <w:r>
              <w:rPr>
                <w:rFonts w:ascii="宋体" w:hAnsi="宋体" w:cs="宋体"/>
                <w:color w:val="000000"/>
                <w:kern w:val="0"/>
                <w:sz w:val="18"/>
                <w:szCs w:val="18"/>
              </w:rPr>
              <w:t>标</w:t>
            </w:r>
          </w:p>
          <w:p w14:paraId="477E222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（90分）</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07B9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一级指标</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3539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二级指标</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6B612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三级指标</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A50E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指标性质</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EC24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指标值</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EA2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度量单位</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F66AC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完成值</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6C20C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权重</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13D4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得分</w:t>
            </w:r>
          </w:p>
        </w:tc>
        <w:tc>
          <w:tcPr>
            <w:tcW w:w="1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08398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未完成原因分析</w:t>
            </w:r>
          </w:p>
        </w:tc>
      </w:tr>
      <w:tr w:rsidR="009C4F3C" w14:paraId="19A2F434" w14:textId="77777777">
        <w:trPr>
          <w:gridAfter w:val="1"/>
          <w:wAfter w:w="69" w:type="dxa"/>
          <w:trHeight w:val="648"/>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08BB6B" w14:textId="77777777" w:rsidR="009C4F3C" w:rsidRDefault="009C4F3C">
            <w:pPr>
              <w:jc w:val="center"/>
              <w:rPr>
                <w:rFonts w:ascii="宋体" w:hAnsi="宋体" w:cs="宋体" w:hint="eastAsia"/>
                <w:color w:val="000000"/>
                <w:sz w:val="18"/>
                <w:szCs w:val="18"/>
              </w:rPr>
            </w:pPr>
          </w:p>
        </w:tc>
        <w:tc>
          <w:tcPr>
            <w:tcW w:w="20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0AA54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产出指标</w:t>
            </w: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73717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数量指标</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D5499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完成天网工程运维设施设备数量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5BBE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6DC8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192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7A6D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台套</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08B151"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192</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874C3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3A10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1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C4D16D" w14:textId="77777777" w:rsidR="009C4F3C" w:rsidRDefault="009C4F3C">
            <w:pPr>
              <w:jc w:val="center"/>
              <w:rPr>
                <w:rFonts w:ascii="微软雅黑" w:eastAsia="微软雅黑" w:hAnsi="微软雅黑" w:cs="微软雅黑" w:hint="eastAsia"/>
                <w:i/>
                <w:color w:val="000000"/>
                <w:sz w:val="16"/>
                <w:szCs w:val="16"/>
              </w:rPr>
            </w:pPr>
          </w:p>
        </w:tc>
      </w:tr>
      <w:tr w:rsidR="009C4F3C" w14:paraId="1D62FF57" w14:textId="77777777">
        <w:trPr>
          <w:gridAfter w:val="1"/>
          <w:wAfter w:w="69" w:type="dxa"/>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7F2BD0"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C07D06"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89490E"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C44F5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服务辖区老年人人数</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396D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F7E3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9ED5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人次</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92AF31"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12500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57D86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6771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1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E438C8" w14:textId="77777777" w:rsidR="009C4F3C" w:rsidRDefault="009C4F3C">
            <w:pPr>
              <w:jc w:val="center"/>
              <w:rPr>
                <w:rFonts w:ascii="微软雅黑" w:eastAsia="微软雅黑" w:hAnsi="微软雅黑" w:cs="微软雅黑" w:hint="eastAsia"/>
                <w:i/>
                <w:color w:val="000000"/>
                <w:sz w:val="16"/>
                <w:szCs w:val="16"/>
              </w:rPr>
            </w:pPr>
          </w:p>
        </w:tc>
      </w:tr>
      <w:tr w:rsidR="009C4F3C" w14:paraId="5067B690"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EA664C" w14:textId="77777777" w:rsidR="009C4F3C" w:rsidRDefault="009C4F3C">
            <w:pPr>
              <w:jc w:val="center"/>
              <w:rPr>
                <w:rFonts w:ascii="宋体" w:hAnsi="宋体" w:cs="宋体" w:hint="eastAsia"/>
                <w:color w:val="000000"/>
                <w:sz w:val="18"/>
                <w:szCs w:val="18"/>
              </w:rPr>
            </w:pPr>
          </w:p>
        </w:tc>
        <w:tc>
          <w:tcPr>
            <w:tcW w:w="2028" w:type="dxa"/>
            <w:vMerge w:val="restart"/>
            <w:tcBorders>
              <w:top w:val="single" w:sz="4" w:space="0" w:color="000000"/>
              <w:left w:val="single" w:sz="4" w:space="0" w:color="000000"/>
              <w:right w:val="single" w:sz="4" w:space="0" w:color="000000"/>
            </w:tcBorders>
            <w:shd w:val="clear" w:color="auto" w:fill="auto"/>
            <w:vAlign w:val="center"/>
          </w:tcPr>
          <w:p w14:paraId="30636C91" w14:textId="77777777" w:rsidR="009C4F3C" w:rsidRDefault="009C4F3C">
            <w:pPr>
              <w:jc w:val="center"/>
              <w:rPr>
                <w:rFonts w:ascii="宋体" w:hAnsi="宋体" w:cs="宋体" w:hint="eastAsia"/>
                <w:color w:val="000000"/>
                <w:sz w:val="18"/>
                <w:szCs w:val="18"/>
              </w:rPr>
            </w:pPr>
          </w:p>
        </w:tc>
        <w:tc>
          <w:tcPr>
            <w:tcW w:w="1252" w:type="dxa"/>
            <w:vMerge w:val="restart"/>
            <w:tcBorders>
              <w:top w:val="single" w:sz="4" w:space="0" w:color="000000"/>
              <w:left w:val="single" w:sz="4" w:space="0" w:color="000000"/>
              <w:right w:val="single" w:sz="4" w:space="0" w:color="000000"/>
            </w:tcBorders>
            <w:shd w:val="clear" w:color="auto" w:fill="auto"/>
            <w:vAlign w:val="center"/>
          </w:tcPr>
          <w:p w14:paraId="7148D35C"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E164B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管理下属职能数量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1705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055E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B9E7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个</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CBDDBA"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22</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060AE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C193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BFB3F6" w14:textId="77777777" w:rsidR="009C4F3C" w:rsidRDefault="009C4F3C">
            <w:pPr>
              <w:jc w:val="center"/>
              <w:rPr>
                <w:rFonts w:ascii="微软雅黑" w:eastAsia="微软雅黑" w:hAnsi="微软雅黑" w:cs="微软雅黑" w:hint="eastAsia"/>
                <w:i/>
                <w:color w:val="000000"/>
                <w:sz w:val="16"/>
                <w:szCs w:val="16"/>
              </w:rPr>
            </w:pPr>
          </w:p>
        </w:tc>
      </w:tr>
      <w:tr w:rsidR="009C4F3C" w14:paraId="7DED092E" w14:textId="77777777">
        <w:trPr>
          <w:trHeight w:val="1080"/>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D3961E"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32D4A5"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1465F3"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981B5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完成办公及业务用房屋建筑物及附属设施维修维护数量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D4F9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41BA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33</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63C9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处</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2F8C60"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38</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29341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F26F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4609A7" w14:textId="77777777" w:rsidR="009C4F3C" w:rsidRDefault="00EF39FE">
            <w:pPr>
              <w:widowControl/>
              <w:jc w:val="center"/>
              <w:textAlignment w:val="center"/>
              <w:rPr>
                <w:rFonts w:ascii="微软雅黑" w:eastAsia="微软雅黑" w:hAnsi="微软雅黑" w:cs="微软雅黑" w:hint="eastAsia"/>
                <w:i/>
                <w:color w:val="000000"/>
                <w:sz w:val="16"/>
                <w:szCs w:val="16"/>
              </w:rPr>
            </w:pPr>
            <w:r>
              <w:rPr>
                <w:rFonts w:ascii="微软雅黑" w:eastAsia="微软雅黑" w:hAnsi="微软雅黑" w:cs="微软雅黑" w:hint="eastAsia"/>
                <w:i/>
                <w:color w:val="000000"/>
                <w:kern w:val="0"/>
                <w:sz w:val="16"/>
                <w:szCs w:val="16"/>
              </w:rPr>
              <w:t>单位全年实际维修维护</w:t>
            </w:r>
          </w:p>
        </w:tc>
      </w:tr>
      <w:tr w:rsidR="009C4F3C" w14:paraId="180C5164" w14:textId="77777777">
        <w:trPr>
          <w:trHeight w:val="228"/>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862ECA"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BD9F45"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941A7F"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C93A8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租车数量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61B7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86B5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AAA8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辆</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1D6A58"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2</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856F4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A272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8C8D0F" w14:textId="77777777" w:rsidR="009C4F3C" w:rsidRDefault="009C4F3C">
            <w:pPr>
              <w:jc w:val="center"/>
              <w:rPr>
                <w:rFonts w:ascii="微软雅黑" w:eastAsia="微软雅黑" w:hAnsi="微软雅黑" w:cs="微软雅黑" w:hint="eastAsia"/>
                <w:i/>
                <w:color w:val="000000"/>
                <w:sz w:val="16"/>
                <w:szCs w:val="16"/>
              </w:rPr>
            </w:pPr>
          </w:p>
        </w:tc>
      </w:tr>
      <w:tr w:rsidR="009C4F3C" w14:paraId="07657FA0" w14:textId="77777777">
        <w:trPr>
          <w:trHeight w:val="529"/>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9B341C"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2AD449"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EE49E"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352AA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辖区生活垃圾处置量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358A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C2F9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8600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BA86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吨</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983AED"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6238.2</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19893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0D04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4</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330576"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生活垃圾减量化处置</w:t>
            </w:r>
          </w:p>
        </w:tc>
      </w:tr>
      <w:tr w:rsidR="009C4F3C" w14:paraId="705EFD27"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DDC50F"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DDC988"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8954A1"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805F6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完成政研课题数量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8039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EEBF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FEF7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篇（部）</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13C9E2"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7</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34A88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35E6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B950D6" w14:textId="77777777" w:rsidR="009C4F3C" w:rsidRDefault="009C4F3C">
            <w:pPr>
              <w:jc w:val="center"/>
              <w:rPr>
                <w:rFonts w:ascii="微软雅黑" w:eastAsia="微软雅黑" w:hAnsi="微软雅黑" w:cs="微软雅黑" w:hint="eastAsia"/>
                <w:i/>
                <w:color w:val="000000"/>
                <w:sz w:val="16"/>
                <w:szCs w:val="16"/>
              </w:rPr>
            </w:pPr>
          </w:p>
        </w:tc>
      </w:tr>
      <w:tr w:rsidR="009C4F3C" w14:paraId="337552AD"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22B217"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16C5A4"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A901A3"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B0BAF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人防工程日常运维数量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2172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0446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4</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3DF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座</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902EE9"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4</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64816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42CD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F8522D" w14:textId="77777777" w:rsidR="009C4F3C" w:rsidRDefault="009C4F3C">
            <w:pPr>
              <w:jc w:val="center"/>
              <w:rPr>
                <w:rFonts w:ascii="微软雅黑" w:eastAsia="微软雅黑" w:hAnsi="微软雅黑" w:cs="微软雅黑" w:hint="eastAsia"/>
                <w:i/>
                <w:color w:val="000000"/>
                <w:sz w:val="16"/>
                <w:szCs w:val="16"/>
              </w:rPr>
            </w:pPr>
          </w:p>
        </w:tc>
      </w:tr>
      <w:tr w:rsidR="009C4F3C" w14:paraId="6AEA310B"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F197E1"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5C7531"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08CC91"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9CA29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食品药品检测数量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5E1A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FA8D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1350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D887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批次</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E90BD5"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1628</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77B29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BE86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DFC089" w14:textId="77777777" w:rsidR="009C4F3C" w:rsidRDefault="009C4F3C">
            <w:pPr>
              <w:jc w:val="center"/>
              <w:rPr>
                <w:rFonts w:ascii="微软雅黑" w:eastAsia="微软雅黑" w:hAnsi="微软雅黑" w:cs="微软雅黑" w:hint="eastAsia"/>
                <w:i/>
                <w:color w:val="000000"/>
                <w:sz w:val="16"/>
                <w:szCs w:val="16"/>
              </w:rPr>
            </w:pPr>
          </w:p>
        </w:tc>
      </w:tr>
      <w:tr w:rsidR="009C4F3C" w14:paraId="02BD459D" w14:textId="77777777">
        <w:trPr>
          <w:trHeight w:val="648"/>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6854B4"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8651D5"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FE4D6C"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ECD13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完成设施设备维修维护 数量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338E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A9B1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C521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台套</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551D0F"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760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489BD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F8DA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3B0861" w14:textId="77777777" w:rsidR="009C4F3C" w:rsidRDefault="00EF39FE">
            <w:pPr>
              <w:widowControl/>
              <w:jc w:val="center"/>
              <w:textAlignment w:val="center"/>
              <w:rPr>
                <w:rFonts w:ascii="微软雅黑" w:eastAsia="微软雅黑" w:hAnsi="微软雅黑" w:cs="微软雅黑" w:hint="eastAsia"/>
                <w:i/>
                <w:color w:val="000000"/>
                <w:sz w:val="16"/>
                <w:szCs w:val="16"/>
              </w:rPr>
            </w:pPr>
            <w:r>
              <w:rPr>
                <w:rFonts w:ascii="微软雅黑" w:eastAsia="微软雅黑" w:hAnsi="微软雅黑" w:cs="微软雅黑" w:hint="eastAsia"/>
                <w:i/>
                <w:color w:val="000000"/>
                <w:kern w:val="0"/>
                <w:sz w:val="16"/>
                <w:szCs w:val="16"/>
              </w:rPr>
              <w:t>单位全年实际维修维护</w:t>
            </w:r>
          </w:p>
        </w:tc>
      </w:tr>
      <w:tr w:rsidR="009C4F3C" w14:paraId="15D51D76" w14:textId="77777777">
        <w:trPr>
          <w:trHeight w:val="1080"/>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243961"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BA1190"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408B32"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28B46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完成市政设施(道路/水沟/交安设施)(维修维护</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D0EC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D002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1500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C78F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米</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88910A"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15400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30FE2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30FF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D90D05" w14:textId="77777777" w:rsidR="009C4F3C" w:rsidRDefault="00EF39FE">
            <w:pPr>
              <w:widowControl/>
              <w:jc w:val="center"/>
              <w:textAlignment w:val="center"/>
              <w:rPr>
                <w:rFonts w:ascii="微软雅黑" w:eastAsia="微软雅黑" w:hAnsi="微软雅黑" w:cs="微软雅黑" w:hint="eastAsia"/>
                <w:i/>
                <w:color w:val="000000"/>
                <w:sz w:val="16"/>
                <w:szCs w:val="16"/>
              </w:rPr>
            </w:pPr>
            <w:r>
              <w:rPr>
                <w:rFonts w:ascii="微软雅黑" w:eastAsia="微软雅黑" w:hAnsi="微软雅黑" w:cs="微软雅黑" w:hint="eastAsia"/>
                <w:i/>
                <w:color w:val="000000"/>
                <w:kern w:val="0"/>
                <w:sz w:val="16"/>
                <w:szCs w:val="16"/>
              </w:rPr>
              <w:t>辖区全年水沟清理总量</w:t>
            </w:r>
          </w:p>
        </w:tc>
      </w:tr>
      <w:tr w:rsidR="009C4F3C" w14:paraId="0DE21712"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D7E487"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66CC6A"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CA8EB"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A911D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管理社区数量</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4AF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BACF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835C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个</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B42BA0"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5</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FA572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CF6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96B673" w14:textId="77777777" w:rsidR="009C4F3C" w:rsidRDefault="009C4F3C">
            <w:pPr>
              <w:jc w:val="center"/>
              <w:rPr>
                <w:rFonts w:ascii="微软雅黑" w:eastAsia="微软雅黑" w:hAnsi="微软雅黑" w:cs="微软雅黑" w:hint="eastAsia"/>
                <w:i/>
                <w:color w:val="000000"/>
                <w:sz w:val="16"/>
                <w:szCs w:val="16"/>
              </w:rPr>
            </w:pPr>
          </w:p>
        </w:tc>
      </w:tr>
      <w:tr w:rsidR="009C4F3C" w14:paraId="284FE5AE"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BD758"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A12D17"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4B8C8B"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5B8B6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设置环境监测点</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F151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972D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16</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8821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处</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44A012"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16</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BDD75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9ECC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DFE8561" w14:textId="77777777" w:rsidR="009C4F3C" w:rsidRDefault="009C4F3C">
            <w:pPr>
              <w:jc w:val="center"/>
              <w:rPr>
                <w:rFonts w:ascii="微软雅黑" w:eastAsia="微软雅黑" w:hAnsi="微软雅黑" w:cs="微软雅黑" w:hint="eastAsia"/>
                <w:i/>
                <w:color w:val="000000"/>
                <w:sz w:val="16"/>
                <w:szCs w:val="16"/>
              </w:rPr>
            </w:pPr>
          </w:p>
        </w:tc>
      </w:tr>
      <w:tr w:rsidR="009C4F3C" w14:paraId="344F614F"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2B1F67"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606811" w14:textId="77777777" w:rsidR="009C4F3C" w:rsidRDefault="009C4F3C">
            <w:pPr>
              <w:jc w:val="center"/>
              <w:rPr>
                <w:rFonts w:ascii="宋体" w:hAnsi="宋体" w:cs="宋体" w:hint="eastAsia"/>
                <w:color w:val="000000"/>
                <w:sz w:val="18"/>
                <w:szCs w:val="18"/>
              </w:rPr>
            </w:pP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85301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质量指标</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939D8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办公及业务网线畅通</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E36F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定性</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F075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优良中低差</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A0A4C" w14:textId="77777777" w:rsidR="009C4F3C" w:rsidRDefault="009C4F3C">
            <w:pPr>
              <w:jc w:val="center"/>
              <w:rPr>
                <w:rFonts w:ascii="宋体" w:hAnsi="宋体" w:cs="宋体" w:hint="eastAsia"/>
                <w:color w:val="000000"/>
                <w:sz w:val="18"/>
                <w:szCs w:val="18"/>
              </w:rPr>
            </w:pP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59D029"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优</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93AAD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D837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79877B" w14:textId="77777777" w:rsidR="009C4F3C" w:rsidRDefault="009C4F3C">
            <w:pPr>
              <w:jc w:val="center"/>
              <w:rPr>
                <w:rFonts w:ascii="微软雅黑" w:eastAsia="微软雅黑" w:hAnsi="微软雅黑" w:cs="微软雅黑" w:hint="eastAsia"/>
                <w:i/>
                <w:color w:val="000000"/>
                <w:sz w:val="16"/>
                <w:szCs w:val="16"/>
              </w:rPr>
            </w:pPr>
          </w:p>
        </w:tc>
      </w:tr>
      <w:tr w:rsidR="009C4F3C" w14:paraId="7519833E" w14:textId="77777777">
        <w:trPr>
          <w:trHeight w:val="648"/>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54F58E"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5D2AF8"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463287"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0D34F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维修维护项目验收合格率</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6C6D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72CC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CAB4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C28680"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100%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AEA49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CB7E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58EA19" w14:textId="77777777" w:rsidR="009C4F3C" w:rsidRDefault="009C4F3C">
            <w:pPr>
              <w:jc w:val="center"/>
              <w:rPr>
                <w:rFonts w:ascii="微软雅黑" w:eastAsia="微软雅黑" w:hAnsi="微软雅黑" w:cs="微软雅黑" w:hint="eastAsia"/>
                <w:i/>
                <w:color w:val="000000"/>
                <w:sz w:val="16"/>
                <w:szCs w:val="16"/>
              </w:rPr>
            </w:pPr>
          </w:p>
        </w:tc>
      </w:tr>
      <w:tr w:rsidR="009C4F3C" w14:paraId="606C737D"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CCCA45"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78B6DF"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0C61F3"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16986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文体活动覆盖率</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2255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FB76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CA04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CC6DF3"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90.00%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A2CDA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9743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1.5</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AC19F4" w14:textId="77777777" w:rsidR="009C4F3C" w:rsidRDefault="009C4F3C">
            <w:pPr>
              <w:jc w:val="center"/>
              <w:rPr>
                <w:rFonts w:ascii="微软雅黑" w:eastAsia="微软雅黑" w:hAnsi="微软雅黑" w:cs="微软雅黑" w:hint="eastAsia"/>
                <w:i/>
                <w:color w:val="000000"/>
                <w:sz w:val="16"/>
                <w:szCs w:val="16"/>
              </w:rPr>
            </w:pPr>
          </w:p>
        </w:tc>
      </w:tr>
      <w:tr w:rsidR="009C4F3C" w14:paraId="646FC436"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97780C"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E544F1" w14:textId="77777777" w:rsidR="009C4F3C" w:rsidRDefault="009C4F3C">
            <w:pPr>
              <w:jc w:val="center"/>
              <w:rPr>
                <w:rFonts w:ascii="宋体" w:hAnsi="宋体" w:cs="宋体" w:hint="eastAsia"/>
                <w:color w:val="000000"/>
                <w:sz w:val="18"/>
                <w:szCs w:val="18"/>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2B08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时效指标</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8C441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完成工作时限</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C7CD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E528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183E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年</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8CF900"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1</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39399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2048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53B5BC" w14:textId="77777777" w:rsidR="009C4F3C" w:rsidRDefault="009C4F3C">
            <w:pPr>
              <w:jc w:val="center"/>
              <w:rPr>
                <w:rFonts w:ascii="微软雅黑" w:eastAsia="微软雅黑" w:hAnsi="微软雅黑" w:cs="微软雅黑" w:hint="eastAsia"/>
                <w:i/>
                <w:color w:val="000000"/>
                <w:sz w:val="16"/>
                <w:szCs w:val="16"/>
              </w:rPr>
            </w:pPr>
          </w:p>
        </w:tc>
      </w:tr>
      <w:tr w:rsidR="009C4F3C" w14:paraId="58A1F68D"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C7406F"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FF9C9F" w14:textId="77777777" w:rsidR="009C4F3C" w:rsidRDefault="009C4F3C">
            <w:pPr>
              <w:jc w:val="center"/>
              <w:rPr>
                <w:rFonts w:ascii="宋体" w:hAnsi="宋体" w:cs="宋体" w:hint="eastAsia"/>
                <w:color w:val="000000"/>
                <w:sz w:val="18"/>
                <w:szCs w:val="18"/>
              </w:rPr>
            </w:pP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283F6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成本指标</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1427E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天网工程维保年费</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AD30F"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FA4A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120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BF84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万元</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608753"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118.7</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34323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7A1F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8CE10A" w14:textId="77777777" w:rsidR="009C4F3C" w:rsidRDefault="009C4F3C">
            <w:pPr>
              <w:jc w:val="center"/>
              <w:rPr>
                <w:rFonts w:ascii="微软雅黑" w:eastAsia="微软雅黑" w:hAnsi="微软雅黑" w:cs="微软雅黑" w:hint="eastAsia"/>
                <w:i/>
                <w:color w:val="000000"/>
                <w:sz w:val="16"/>
                <w:szCs w:val="16"/>
              </w:rPr>
            </w:pPr>
          </w:p>
        </w:tc>
      </w:tr>
      <w:tr w:rsidR="009C4F3C" w14:paraId="24E8C8E1"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7C68B8"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CA5175"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3BD95"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ACF34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动物检疫年费</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E48E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EC84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59B2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万元</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6E7884"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10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124D2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5910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3A840E" w14:textId="77777777" w:rsidR="009C4F3C" w:rsidRDefault="009C4F3C">
            <w:pPr>
              <w:jc w:val="center"/>
              <w:rPr>
                <w:rFonts w:ascii="微软雅黑" w:eastAsia="微软雅黑" w:hAnsi="微软雅黑" w:cs="微软雅黑" w:hint="eastAsia"/>
                <w:i/>
                <w:color w:val="000000"/>
                <w:sz w:val="16"/>
                <w:szCs w:val="16"/>
              </w:rPr>
            </w:pPr>
          </w:p>
        </w:tc>
      </w:tr>
      <w:tr w:rsidR="009C4F3C" w14:paraId="598EB8F1" w14:textId="77777777">
        <w:trPr>
          <w:trHeight w:val="400"/>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6F37A2"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B5F7CC"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F044EB"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90D64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垃圾处置单价</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9DCC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8915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47</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CB3E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元</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DDD9E9"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33.7</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FDC6A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B4DE3"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A7C71E" w14:textId="77777777" w:rsidR="009C4F3C" w:rsidRDefault="009C4F3C">
            <w:pPr>
              <w:jc w:val="center"/>
              <w:rPr>
                <w:rFonts w:ascii="微软雅黑" w:eastAsia="微软雅黑" w:hAnsi="微软雅黑" w:cs="微软雅黑" w:hint="eastAsia"/>
                <w:i/>
                <w:color w:val="000000"/>
                <w:sz w:val="16"/>
                <w:szCs w:val="16"/>
              </w:rPr>
            </w:pPr>
          </w:p>
        </w:tc>
      </w:tr>
      <w:tr w:rsidR="009C4F3C" w14:paraId="475CF3BE"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59D6BB"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8FB454"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05BFAC"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971C6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道路维修成本</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A4DA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1C129"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60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BEBE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元/米</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E6DF7A"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47</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18393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8C4E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86D9C3" w14:textId="77777777" w:rsidR="009C4F3C" w:rsidRDefault="00EF39FE">
            <w:pPr>
              <w:widowControl/>
              <w:jc w:val="center"/>
              <w:textAlignment w:val="center"/>
              <w:rPr>
                <w:rFonts w:ascii="微软雅黑" w:eastAsia="微软雅黑" w:hAnsi="微软雅黑" w:cs="微软雅黑" w:hint="eastAsia"/>
                <w:i/>
                <w:color w:val="000000"/>
                <w:sz w:val="12"/>
                <w:szCs w:val="12"/>
              </w:rPr>
            </w:pPr>
            <w:r>
              <w:rPr>
                <w:rStyle w:val="font41"/>
                <w:rFonts w:hint="default"/>
              </w:rPr>
              <w:t>标线单价47元/</w:t>
            </w:r>
            <w:r>
              <w:rPr>
                <w:rStyle w:val="font51"/>
              </w:rPr>
              <w:t>㎡</w:t>
            </w:r>
          </w:p>
        </w:tc>
      </w:tr>
      <w:tr w:rsidR="009C4F3C" w14:paraId="79BCBC5D" w14:textId="77777777">
        <w:trPr>
          <w:trHeight w:val="483"/>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FF9B0F" w14:textId="77777777" w:rsidR="009C4F3C" w:rsidRDefault="009C4F3C">
            <w:pPr>
              <w:jc w:val="center"/>
              <w:rPr>
                <w:rFonts w:ascii="宋体" w:hAnsi="宋体" w:cs="宋体" w:hint="eastAsia"/>
                <w:color w:val="000000"/>
                <w:sz w:val="18"/>
                <w:szCs w:val="18"/>
              </w:rPr>
            </w:pPr>
          </w:p>
        </w:tc>
        <w:tc>
          <w:tcPr>
            <w:tcW w:w="20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EC82E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效益指标</w:t>
            </w:r>
          </w:p>
        </w:tc>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6622A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社会效益指标</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4BE82A"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天网工程辖区内外提供视频线索比</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64D0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5E11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90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9A14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DDCE4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90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405D2E"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753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F3BD95" w14:textId="77777777" w:rsidR="009C4F3C" w:rsidRDefault="009C4F3C">
            <w:pPr>
              <w:jc w:val="center"/>
              <w:rPr>
                <w:rFonts w:ascii="微软雅黑" w:eastAsia="微软雅黑" w:hAnsi="微软雅黑" w:cs="微软雅黑" w:hint="eastAsia"/>
                <w:i/>
                <w:color w:val="000000"/>
                <w:sz w:val="16"/>
                <w:szCs w:val="16"/>
              </w:rPr>
            </w:pPr>
          </w:p>
        </w:tc>
      </w:tr>
      <w:tr w:rsidR="009C4F3C" w14:paraId="1A40A9D3" w14:textId="77777777">
        <w:trPr>
          <w:trHeight w:val="565"/>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9347AD"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31967C"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66D654"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39591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天网工程直接支撑破案率占比</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A11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C6E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70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438D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F59C8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70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82837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959D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F7A9FA" w14:textId="77777777" w:rsidR="009C4F3C" w:rsidRDefault="009C4F3C">
            <w:pPr>
              <w:jc w:val="center"/>
              <w:rPr>
                <w:rFonts w:ascii="微软雅黑" w:eastAsia="微软雅黑" w:hAnsi="微软雅黑" w:cs="微软雅黑" w:hint="eastAsia"/>
                <w:i/>
                <w:color w:val="000000"/>
                <w:sz w:val="16"/>
                <w:szCs w:val="16"/>
              </w:rPr>
            </w:pPr>
          </w:p>
        </w:tc>
      </w:tr>
      <w:tr w:rsidR="009C4F3C" w14:paraId="29F404FF" w14:textId="77777777">
        <w:trPr>
          <w:trHeight w:val="548"/>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BFBA80"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298D6" w14:textId="77777777" w:rsidR="009C4F3C" w:rsidRDefault="009C4F3C">
            <w:pPr>
              <w:jc w:val="center"/>
              <w:rPr>
                <w:rFonts w:ascii="宋体" w:hAnsi="宋体" w:cs="宋体" w:hint="eastAsia"/>
                <w:color w:val="000000"/>
                <w:sz w:val="18"/>
                <w:szCs w:val="18"/>
              </w:rPr>
            </w:pPr>
          </w:p>
        </w:tc>
        <w:tc>
          <w:tcPr>
            <w:tcW w:w="12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E4FDE" w14:textId="77777777" w:rsidR="009C4F3C" w:rsidRDefault="009C4F3C">
            <w:pPr>
              <w:jc w:val="center"/>
              <w:rPr>
                <w:rFonts w:ascii="宋体" w:hAnsi="宋体" w:cs="宋体" w:hint="eastAsia"/>
                <w:color w:val="000000"/>
                <w:sz w:val="18"/>
                <w:szCs w:val="18"/>
              </w:rPr>
            </w:pP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9AB08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对公共服务及社会管理能力的提升</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2B2F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定性</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9512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高中低</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A21D4" w14:textId="77777777" w:rsidR="009C4F3C" w:rsidRDefault="009C4F3C">
            <w:pPr>
              <w:jc w:val="center"/>
              <w:rPr>
                <w:rFonts w:ascii="宋体" w:hAnsi="宋体" w:cs="宋体" w:hint="eastAsia"/>
                <w:color w:val="000000"/>
                <w:sz w:val="18"/>
                <w:szCs w:val="18"/>
              </w:rPr>
            </w:pP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B07664"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中</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BAB2E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DC97D"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3.5</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D7B97E" w14:textId="77777777" w:rsidR="009C4F3C" w:rsidRDefault="009C4F3C">
            <w:pPr>
              <w:jc w:val="center"/>
              <w:rPr>
                <w:rFonts w:ascii="微软雅黑" w:eastAsia="微软雅黑" w:hAnsi="微软雅黑" w:cs="微软雅黑" w:hint="eastAsia"/>
                <w:i/>
                <w:color w:val="000000"/>
                <w:sz w:val="16"/>
                <w:szCs w:val="16"/>
              </w:rPr>
            </w:pPr>
          </w:p>
        </w:tc>
      </w:tr>
      <w:tr w:rsidR="009C4F3C" w14:paraId="08D2D209"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70659C" w14:textId="77777777" w:rsidR="009C4F3C" w:rsidRDefault="009C4F3C">
            <w:pPr>
              <w:jc w:val="center"/>
              <w:rPr>
                <w:rFonts w:ascii="宋体" w:hAnsi="宋体" w:cs="宋体" w:hint="eastAsia"/>
                <w:color w:val="000000"/>
                <w:sz w:val="18"/>
                <w:szCs w:val="18"/>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F6C347" w14:textId="77777777" w:rsidR="009C4F3C" w:rsidRDefault="009C4F3C">
            <w:pPr>
              <w:jc w:val="center"/>
              <w:rPr>
                <w:rFonts w:ascii="宋体" w:hAnsi="宋体" w:cs="宋体" w:hint="eastAsia"/>
                <w:color w:val="000000"/>
                <w:sz w:val="18"/>
                <w:szCs w:val="18"/>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E37B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生态效益指标</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9C0E7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促进生态环境改善</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2F04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定性</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88480"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好坏</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FD886" w14:textId="77777777" w:rsidR="009C4F3C" w:rsidRDefault="009C4F3C">
            <w:pPr>
              <w:jc w:val="center"/>
              <w:rPr>
                <w:rFonts w:ascii="宋体" w:hAnsi="宋体" w:cs="宋体" w:hint="eastAsia"/>
                <w:color w:val="000000"/>
                <w:sz w:val="18"/>
                <w:szCs w:val="18"/>
              </w:rPr>
            </w:pP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D26518"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好</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7D3071"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8607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2</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59104B" w14:textId="77777777" w:rsidR="009C4F3C" w:rsidRDefault="009C4F3C">
            <w:pPr>
              <w:jc w:val="center"/>
              <w:rPr>
                <w:rFonts w:ascii="微软雅黑" w:eastAsia="微软雅黑" w:hAnsi="微软雅黑" w:cs="微软雅黑" w:hint="eastAsia"/>
                <w:i/>
                <w:color w:val="000000"/>
                <w:sz w:val="16"/>
                <w:szCs w:val="16"/>
              </w:rPr>
            </w:pPr>
          </w:p>
        </w:tc>
      </w:tr>
      <w:tr w:rsidR="009C4F3C" w14:paraId="73E76350" w14:textId="77777777">
        <w:trPr>
          <w:trHeight w:val="432"/>
        </w:trPr>
        <w:tc>
          <w:tcPr>
            <w:tcW w:w="9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D06403" w14:textId="77777777" w:rsidR="009C4F3C" w:rsidRDefault="009C4F3C">
            <w:pPr>
              <w:jc w:val="center"/>
              <w:rPr>
                <w:rFonts w:ascii="宋体" w:hAnsi="宋体" w:cs="宋体" w:hint="eastAsia"/>
                <w:color w:val="000000"/>
                <w:sz w:val="18"/>
                <w:szCs w:val="18"/>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9782B"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满意度指标</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3E27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服务对象满意度指标</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349938"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满意度</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E1F2"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6CA4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85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A8C3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w:t>
            </w:r>
          </w:p>
        </w:tc>
        <w:tc>
          <w:tcPr>
            <w:tcW w:w="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22CB77" w14:textId="77777777" w:rsidR="009C4F3C" w:rsidRDefault="00EF39FE">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91.82</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E45CD6"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A57F5"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10</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9D2028" w14:textId="77777777" w:rsidR="009C4F3C" w:rsidRDefault="009C4F3C">
            <w:pPr>
              <w:jc w:val="center"/>
              <w:rPr>
                <w:rFonts w:ascii="微软雅黑" w:eastAsia="微软雅黑" w:hAnsi="微软雅黑" w:cs="微软雅黑" w:hint="eastAsia"/>
                <w:i/>
                <w:color w:val="000000"/>
                <w:sz w:val="16"/>
                <w:szCs w:val="16"/>
              </w:rPr>
            </w:pPr>
          </w:p>
        </w:tc>
      </w:tr>
      <w:tr w:rsidR="009C4F3C" w14:paraId="21AB0886" w14:textId="77777777">
        <w:trPr>
          <w:trHeight w:val="228"/>
        </w:trPr>
        <w:tc>
          <w:tcPr>
            <w:tcW w:w="1093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0ED9EA87"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合计</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06F743" w14:textId="77777777" w:rsidR="009C4F3C" w:rsidRDefault="009C4F3C">
            <w:pPr>
              <w:rPr>
                <w:rFonts w:ascii="宋体" w:hAnsi="宋体" w:cs="宋体" w:hint="eastAsia"/>
                <w:color w:val="000000"/>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A458" w14:textId="77777777" w:rsidR="009C4F3C" w:rsidRDefault="00EF39FE">
            <w:pPr>
              <w:widowControl/>
              <w:jc w:val="left"/>
              <w:textAlignment w:val="center"/>
              <w:rPr>
                <w:rFonts w:ascii="宋体" w:hAnsi="宋体" w:cs="宋体" w:hint="eastAsia"/>
                <w:color w:val="000000"/>
                <w:sz w:val="18"/>
                <w:szCs w:val="18"/>
              </w:rPr>
            </w:pPr>
            <w:r>
              <w:rPr>
                <w:rFonts w:ascii="宋体" w:hAnsi="宋体" w:cs="宋体"/>
                <w:color w:val="000000"/>
                <w:kern w:val="0"/>
                <w:sz w:val="18"/>
                <w:szCs w:val="18"/>
              </w:rPr>
              <w:t>98</w:t>
            </w:r>
          </w:p>
        </w:tc>
        <w:tc>
          <w:tcPr>
            <w:tcW w:w="14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D5D076" w14:textId="77777777" w:rsidR="009C4F3C" w:rsidRDefault="009C4F3C">
            <w:pPr>
              <w:rPr>
                <w:rFonts w:ascii="宋体" w:hAnsi="宋体" w:cs="宋体" w:hint="eastAsia"/>
                <w:color w:val="000000"/>
                <w:sz w:val="18"/>
                <w:szCs w:val="18"/>
              </w:rPr>
            </w:pPr>
          </w:p>
        </w:tc>
      </w:tr>
      <w:tr w:rsidR="009C4F3C" w14:paraId="3A9D7357" w14:textId="77777777">
        <w:trPr>
          <w:trHeight w:val="900"/>
        </w:trPr>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2C55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评价结论</w:t>
            </w:r>
          </w:p>
        </w:tc>
        <w:tc>
          <w:tcPr>
            <w:tcW w:w="13377"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030A3B9C" w14:textId="77777777" w:rsidR="009C4F3C" w:rsidRDefault="00EF39FE">
            <w:pPr>
              <w:widowControl/>
              <w:jc w:val="left"/>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省人民政府科学城办事处管理制度健全，管理规范，预算编制及执行情况较好，整体支出合规，资产管理到位；我们高度重视自身建设和能力提升，全方位履行政府职能，为辖区居民营造出优质的社会环境。根据《财政厅关于开展2022年度省级部门绩效自评工作的通知》（川财绩〔2023〕4号）文件相关要求对本单位2022年整体绩效情况进行了自评。自评体系总分100分，经逐条考核，我单位自评得分98分。</w:t>
            </w:r>
          </w:p>
        </w:tc>
      </w:tr>
      <w:tr w:rsidR="009C4F3C" w14:paraId="3594D8DB" w14:textId="77777777">
        <w:trPr>
          <w:trHeight w:val="1213"/>
        </w:trPr>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E95C4"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存在问题</w:t>
            </w:r>
          </w:p>
        </w:tc>
        <w:tc>
          <w:tcPr>
            <w:tcW w:w="13377"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58A463C8" w14:textId="77777777" w:rsidR="009C4F3C" w:rsidRDefault="00EF39FE">
            <w:pPr>
              <w:widowControl/>
              <w:jc w:val="left"/>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部门预算前期执行力度不够，项目资金支出时间过于集中；</w:t>
            </w:r>
            <w:r>
              <w:rPr>
                <w:rFonts w:ascii="微软雅黑" w:eastAsia="微软雅黑" w:hAnsi="微软雅黑" w:cs="微软雅黑" w:hint="eastAsia"/>
                <w:color w:val="000000"/>
                <w:kern w:val="0"/>
                <w:sz w:val="16"/>
                <w:szCs w:val="16"/>
              </w:rPr>
              <w:br/>
              <w:t>绩效评价工作事中监督力度不够，对预算项目资金在实际执行过程中没有起到相应的调节作用；</w:t>
            </w:r>
            <w:r>
              <w:rPr>
                <w:rFonts w:ascii="微软雅黑" w:eastAsia="微软雅黑" w:hAnsi="微软雅黑" w:cs="微软雅黑" w:hint="eastAsia"/>
                <w:color w:val="000000"/>
                <w:kern w:val="0"/>
                <w:sz w:val="16"/>
                <w:szCs w:val="16"/>
              </w:rPr>
              <w:br/>
              <w:t>在保障院事业发展上，资源配置和保障力度还不够；在保障民生上，辖区优质公共服务供给总量不足与配置不均衡并存，在社会保障、环境改善、休闲娱乐等方面不能满足职工居民的更高要求和期待；在政府自身建设上，人力资源困境依然突出，服务意识有待加强、服务质量有待提高。</w:t>
            </w:r>
          </w:p>
        </w:tc>
      </w:tr>
      <w:tr w:rsidR="009C4F3C" w14:paraId="4B499CA6" w14:textId="77777777">
        <w:trPr>
          <w:trHeight w:val="840"/>
        </w:trPr>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0244C" w14:textId="77777777" w:rsidR="009C4F3C" w:rsidRDefault="00EF39FE">
            <w:pPr>
              <w:widowControl/>
              <w:jc w:val="center"/>
              <w:textAlignment w:val="center"/>
              <w:rPr>
                <w:rFonts w:ascii="宋体" w:hAnsi="宋体" w:cs="宋体" w:hint="eastAsia"/>
                <w:color w:val="000000"/>
                <w:sz w:val="18"/>
                <w:szCs w:val="18"/>
              </w:rPr>
            </w:pPr>
            <w:r>
              <w:rPr>
                <w:rFonts w:ascii="宋体" w:hAnsi="宋体" w:cs="宋体"/>
                <w:color w:val="000000"/>
                <w:kern w:val="0"/>
                <w:sz w:val="18"/>
                <w:szCs w:val="18"/>
              </w:rPr>
              <w:t>改进措施</w:t>
            </w:r>
          </w:p>
        </w:tc>
        <w:tc>
          <w:tcPr>
            <w:tcW w:w="13377"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5F8D502C" w14:textId="77777777" w:rsidR="009C4F3C" w:rsidRDefault="00EF39FE">
            <w:pPr>
              <w:widowControl/>
              <w:jc w:val="left"/>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rPr>
              <w:t>2023年需要进一步加强绩效目标管理，坚持问题导向，有的放矢，精准施策。督促项目资金使用部门合理安排资金，提高项目资金前期执行率；强化部门绩效事中监督调整力度，及时调整预算资金；采取有效措施建立起满足中物院事业发展需要、符合辖区实际、具有自身特色的精干高效的管理体系。</w:t>
            </w:r>
          </w:p>
        </w:tc>
      </w:tr>
      <w:tr w:rsidR="009C4F3C" w14:paraId="3DAAC550" w14:textId="77777777">
        <w:trPr>
          <w:trHeight w:val="228"/>
        </w:trPr>
        <w:tc>
          <w:tcPr>
            <w:tcW w:w="48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0B5F06" w14:textId="77777777" w:rsidR="009C4F3C" w:rsidRDefault="00EF39FE">
            <w:pPr>
              <w:widowControl/>
              <w:jc w:val="left"/>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项目负责人：刘开武</w:t>
            </w:r>
          </w:p>
        </w:tc>
        <w:tc>
          <w:tcPr>
            <w:tcW w:w="949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9495766" w14:textId="77777777" w:rsidR="009C4F3C" w:rsidRDefault="00EF39FE">
            <w:pPr>
              <w:widowControl/>
              <w:jc w:val="left"/>
              <w:textAlignment w:val="center"/>
              <w:rPr>
                <w:rFonts w:ascii="黑体" w:eastAsia="黑体" w:hAnsi="黑体" w:cs="黑体" w:hint="eastAsia"/>
                <w:color w:val="000000"/>
                <w:sz w:val="18"/>
                <w:szCs w:val="18"/>
              </w:rPr>
            </w:pPr>
            <w:r>
              <w:rPr>
                <w:rFonts w:ascii="黑体" w:eastAsia="黑体" w:hAnsi="黑体" w:cs="黑体" w:hint="eastAsia"/>
                <w:color w:val="000000"/>
                <w:kern w:val="0"/>
                <w:sz w:val="18"/>
                <w:szCs w:val="18"/>
              </w:rPr>
              <w:t>财务负责人：房晓妮</w:t>
            </w:r>
          </w:p>
        </w:tc>
      </w:tr>
    </w:tbl>
    <w:p w14:paraId="5B605F0F" w14:textId="77777777" w:rsidR="009C4F3C" w:rsidRDefault="009C4F3C">
      <w:pPr>
        <w:widowControl/>
        <w:jc w:val="left"/>
        <w:rPr>
          <w:rStyle w:val="10"/>
          <w:rFonts w:ascii="黑体" w:eastAsia="黑体" w:hAnsi="黑体" w:hint="eastAsia"/>
          <w:b w:val="0"/>
        </w:rPr>
        <w:sectPr w:rsidR="009C4F3C">
          <w:pgSz w:w="16838" w:h="11906" w:orient="landscape"/>
          <w:pgMar w:top="1587" w:right="2098" w:bottom="1474" w:left="1984" w:header="851" w:footer="992" w:gutter="0"/>
          <w:cols w:space="425"/>
          <w:titlePg/>
          <w:docGrid w:type="lines" w:linePitch="312"/>
        </w:sectPr>
      </w:pPr>
    </w:p>
    <w:p w14:paraId="1B2BA9DA" w14:textId="77777777" w:rsidR="009C4F3C" w:rsidRDefault="00EF39FE">
      <w:pPr>
        <w:widowControl/>
        <w:jc w:val="center"/>
        <w:rPr>
          <w:rFonts w:ascii="仿宋" w:eastAsia="仿宋" w:hAnsi="仿宋" w:hint="eastAsia"/>
        </w:rPr>
      </w:pPr>
      <w:bookmarkStart w:id="55" w:name="_Toc15396618"/>
      <w:r>
        <w:rPr>
          <w:rFonts w:ascii="黑体" w:eastAsia="黑体" w:hAnsi="黑体" w:hint="eastAsia"/>
          <w:sz w:val="44"/>
          <w:szCs w:val="44"/>
        </w:rPr>
        <w:lastRenderedPageBreak/>
        <w:t>第</w:t>
      </w:r>
      <w:r>
        <w:rPr>
          <w:rStyle w:val="1Char"/>
          <w:rFonts w:ascii="黑体" w:eastAsia="黑体" w:hAnsi="黑体" w:hint="eastAsia"/>
          <w:b w:val="0"/>
        </w:rPr>
        <w:t>五部分 附表</w:t>
      </w:r>
      <w:bookmarkStart w:id="56" w:name="_Toc15396619"/>
      <w:bookmarkEnd w:id="52"/>
      <w:bookmarkEnd w:id="55"/>
    </w:p>
    <w:p w14:paraId="751FDD25" w14:textId="77777777" w:rsidR="009C4F3C" w:rsidRDefault="00EF39FE">
      <w:pPr>
        <w:pStyle w:val="2"/>
        <w:rPr>
          <w:rFonts w:ascii="仿宋" w:eastAsia="仿宋" w:hAnsi="仿宋" w:hint="eastAsia"/>
        </w:rPr>
      </w:pPr>
      <w:r>
        <w:rPr>
          <w:rFonts w:ascii="仿宋" w:eastAsia="仿宋" w:hAnsi="仿宋" w:hint="eastAsia"/>
          <w:b w:val="0"/>
        </w:rPr>
        <w:t>一、收</w:t>
      </w:r>
      <w:r>
        <w:rPr>
          <w:rStyle w:val="20"/>
          <w:rFonts w:ascii="仿宋" w:eastAsia="仿宋" w:hAnsi="仿宋" w:hint="eastAsia"/>
        </w:rPr>
        <w:t>入支出决算总表</w:t>
      </w:r>
      <w:bookmarkEnd w:id="56"/>
    </w:p>
    <w:p w14:paraId="6273C32F" w14:textId="77777777" w:rsidR="009C4F3C" w:rsidRDefault="00EF39FE">
      <w:pPr>
        <w:pStyle w:val="2"/>
        <w:rPr>
          <w:rFonts w:ascii="仿宋" w:eastAsia="仿宋" w:hAnsi="仿宋" w:hint="eastAsia"/>
        </w:rPr>
      </w:pPr>
      <w:bookmarkStart w:id="57" w:name="_Toc15396620"/>
      <w:r>
        <w:rPr>
          <w:rFonts w:ascii="仿宋" w:eastAsia="仿宋" w:hAnsi="仿宋" w:hint="eastAsia"/>
          <w:b w:val="0"/>
        </w:rPr>
        <w:t>二、收</w:t>
      </w:r>
      <w:r>
        <w:rPr>
          <w:rStyle w:val="20"/>
          <w:rFonts w:ascii="仿宋" w:eastAsia="仿宋" w:hAnsi="仿宋" w:hint="eastAsia"/>
        </w:rPr>
        <w:t>入决算表</w:t>
      </w:r>
      <w:bookmarkEnd w:id="57"/>
    </w:p>
    <w:p w14:paraId="0E13CDE6" w14:textId="77777777" w:rsidR="009C4F3C" w:rsidRDefault="00EF39FE">
      <w:pPr>
        <w:pStyle w:val="2"/>
        <w:rPr>
          <w:rFonts w:ascii="仿宋" w:eastAsia="仿宋" w:hAnsi="仿宋" w:hint="eastAsia"/>
        </w:rPr>
      </w:pPr>
      <w:bookmarkStart w:id="58" w:name="_Toc15396621"/>
      <w:r>
        <w:rPr>
          <w:rStyle w:val="20"/>
          <w:rFonts w:ascii="仿宋" w:eastAsia="仿宋" w:hAnsi="仿宋" w:hint="eastAsia"/>
        </w:rPr>
        <w:t>三、</w:t>
      </w:r>
      <w:r>
        <w:rPr>
          <w:rFonts w:ascii="仿宋" w:eastAsia="仿宋" w:hAnsi="仿宋" w:hint="eastAsia"/>
          <w:b w:val="0"/>
        </w:rPr>
        <w:t>支</w:t>
      </w:r>
      <w:r>
        <w:rPr>
          <w:rStyle w:val="20"/>
          <w:rFonts w:ascii="仿宋" w:eastAsia="仿宋" w:hAnsi="仿宋" w:hint="eastAsia"/>
        </w:rPr>
        <w:t>出决算表</w:t>
      </w:r>
      <w:bookmarkEnd w:id="58"/>
    </w:p>
    <w:p w14:paraId="28CEB2A5" w14:textId="77777777" w:rsidR="009C4F3C" w:rsidRDefault="00EF39FE">
      <w:pPr>
        <w:pStyle w:val="2"/>
        <w:rPr>
          <w:rFonts w:ascii="仿宋" w:eastAsia="仿宋" w:hAnsi="仿宋" w:hint="eastAsia"/>
          <w:b w:val="0"/>
        </w:rPr>
      </w:pPr>
      <w:bookmarkStart w:id="59" w:name="_Toc15396622"/>
      <w:r>
        <w:rPr>
          <w:rStyle w:val="20"/>
          <w:rFonts w:ascii="仿宋" w:eastAsia="仿宋" w:hAnsi="仿宋" w:hint="eastAsia"/>
        </w:rPr>
        <w:t>四、</w:t>
      </w:r>
      <w:r>
        <w:rPr>
          <w:rFonts w:ascii="仿宋" w:eastAsia="仿宋" w:hAnsi="仿宋" w:hint="eastAsia"/>
          <w:b w:val="0"/>
        </w:rPr>
        <w:t>财</w:t>
      </w:r>
      <w:r>
        <w:rPr>
          <w:rStyle w:val="20"/>
          <w:rFonts w:ascii="仿宋" w:eastAsia="仿宋" w:hAnsi="仿宋" w:hint="eastAsia"/>
        </w:rPr>
        <w:t>政拨款收入支出决算总表</w:t>
      </w:r>
      <w:bookmarkEnd w:id="59"/>
    </w:p>
    <w:p w14:paraId="1CA81F5D" w14:textId="77777777" w:rsidR="009C4F3C" w:rsidRDefault="00EF39FE">
      <w:pPr>
        <w:pStyle w:val="2"/>
        <w:rPr>
          <w:rStyle w:val="20"/>
          <w:rFonts w:ascii="仿宋" w:eastAsia="仿宋" w:hAnsi="仿宋" w:hint="eastAsia"/>
        </w:rPr>
      </w:pPr>
      <w:bookmarkStart w:id="60" w:name="_Toc15396623"/>
      <w:r>
        <w:rPr>
          <w:rStyle w:val="20"/>
          <w:rFonts w:ascii="仿宋" w:eastAsia="仿宋" w:hAnsi="仿宋" w:hint="eastAsia"/>
        </w:rPr>
        <w:t>五、</w:t>
      </w:r>
      <w:r>
        <w:rPr>
          <w:rFonts w:ascii="仿宋" w:eastAsia="仿宋" w:hAnsi="仿宋" w:hint="eastAsia"/>
          <w:b w:val="0"/>
        </w:rPr>
        <w:t>财</w:t>
      </w:r>
      <w:r>
        <w:rPr>
          <w:rStyle w:val="20"/>
          <w:rFonts w:ascii="仿宋" w:eastAsia="仿宋" w:hAnsi="仿宋" w:hint="eastAsia"/>
        </w:rPr>
        <w:t>政拨款支出决算明细表</w:t>
      </w:r>
      <w:bookmarkStart w:id="61" w:name="_Toc15396624"/>
      <w:bookmarkEnd w:id="60"/>
    </w:p>
    <w:p w14:paraId="78C7E7D5" w14:textId="77777777" w:rsidR="009C4F3C" w:rsidRDefault="00EF39FE">
      <w:pPr>
        <w:pStyle w:val="2"/>
        <w:rPr>
          <w:rFonts w:ascii="仿宋" w:eastAsia="仿宋" w:hAnsi="仿宋" w:hint="eastAsia"/>
        </w:rPr>
      </w:pPr>
      <w:r>
        <w:rPr>
          <w:rStyle w:val="20"/>
          <w:rFonts w:ascii="仿宋" w:eastAsia="仿宋" w:hAnsi="仿宋" w:hint="eastAsia"/>
        </w:rPr>
        <w:t>六、</w:t>
      </w:r>
      <w:r>
        <w:rPr>
          <w:rFonts w:ascii="仿宋" w:eastAsia="仿宋" w:hAnsi="仿宋" w:hint="eastAsia"/>
          <w:b w:val="0"/>
        </w:rPr>
        <w:t>一</w:t>
      </w:r>
      <w:r>
        <w:rPr>
          <w:rStyle w:val="20"/>
          <w:rFonts w:ascii="仿宋" w:eastAsia="仿宋" w:hAnsi="仿宋" w:hint="eastAsia"/>
        </w:rPr>
        <w:t>般公共预算财政拨款支出决算表</w:t>
      </w:r>
      <w:bookmarkEnd w:id="61"/>
    </w:p>
    <w:p w14:paraId="2815C74C" w14:textId="77777777" w:rsidR="009C4F3C" w:rsidRDefault="00EF39FE">
      <w:pPr>
        <w:pStyle w:val="2"/>
        <w:rPr>
          <w:rFonts w:ascii="仿宋" w:eastAsia="仿宋" w:hAnsi="仿宋" w:hint="eastAsia"/>
        </w:rPr>
      </w:pPr>
      <w:bookmarkStart w:id="62" w:name="_Toc15396625"/>
      <w:r>
        <w:rPr>
          <w:rStyle w:val="20"/>
          <w:rFonts w:ascii="仿宋" w:eastAsia="仿宋" w:hAnsi="仿宋" w:hint="eastAsia"/>
        </w:rPr>
        <w:t>七、</w:t>
      </w:r>
      <w:r>
        <w:rPr>
          <w:rFonts w:ascii="仿宋" w:eastAsia="仿宋" w:hAnsi="仿宋" w:hint="eastAsia"/>
          <w:b w:val="0"/>
        </w:rPr>
        <w:t>一</w:t>
      </w:r>
      <w:r>
        <w:rPr>
          <w:rStyle w:val="20"/>
          <w:rFonts w:ascii="仿宋" w:eastAsia="仿宋" w:hAnsi="仿宋" w:hint="eastAsia"/>
        </w:rPr>
        <w:t>般公共预算财政拨款支出决算明细表</w:t>
      </w:r>
      <w:bookmarkEnd w:id="62"/>
    </w:p>
    <w:p w14:paraId="668B7E42" w14:textId="77777777" w:rsidR="009C4F3C" w:rsidRDefault="00EF39FE">
      <w:pPr>
        <w:pStyle w:val="2"/>
        <w:rPr>
          <w:rFonts w:ascii="仿宋" w:eastAsia="仿宋" w:hAnsi="仿宋" w:hint="eastAsia"/>
        </w:rPr>
      </w:pPr>
      <w:bookmarkStart w:id="63" w:name="_Toc15396626"/>
      <w:r>
        <w:rPr>
          <w:rStyle w:val="20"/>
          <w:rFonts w:ascii="仿宋" w:eastAsia="仿宋" w:hAnsi="仿宋" w:hint="eastAsia"/>
        </w:rPr>
        <w:t>八、</w:t>
      </w:r>
      <w:r>
        <w:rPr>
          <w:rFonts w:ascii="仿宋" w:eastAsia="仿宋" w:hAnsi="仿宋" w:hint="eastAsia"/>
          <w:b w:val="0"/>
        </w:rPr>
        <w:t>一</w:t>
      </w:r>
      <w:r>
        <w:rPr>
          <w:rStyle w:val="20"/>
          <w:rFonts w:ascii="仿宋" w:eastAsia="仿宋" w:hAnsi="仿宋" w:hint="eastAsia"/>
        </w:rPr>
        <w:t>般公共预算财政拨款基本支出决算表</w:t>
      </w:r>
      <w:bookmarkEnd w:id="63"/>
    </w:p>
    <w:p w14:paraId="1077870A" w14:textId="77777777" w:rsidR="009C4F3C" w:rsidRDefault="00EF39FE">
      <w:pPr>
        <w:pStyle w:val="2"/>
        <w:rPr>
          <w:rFonts w:ascii="仿宋" w:eastAsia="仿宋" w:hAnsi="仿宋" w:hint="eastAsia"/>
        </w:rPr>
      </w:pPr>
      <w:bookmarkStart w:id="64" w:name="_Toc15396627"/>
      <w:r>
        <w:rPr>
          <w:rStyle w:val="20"/>
          <w:rFonts w:ascii="仿宋" w:eastAsia="仿宋" w:hAnsi="仿宋" w:hint="eastAsia"/>
        </w:rPr>
        <w:t>九、</w:t>
      </w:r>
      <w:r>
        <w:rPr>
          <w:rFonts w:ascii="仿宋" w:eastAsia="仿宋" w:hAnsi="仿宋" w:hint="eastAsia"/>
          <w:b w:val="0"/>
        </w:rPr>
        <w:t>一</w:t>
      </w:r>
      <w:r>
        <w:rPr>
          <w:rStyle w:val="20"/>
          <w:rFonts w:ascii="仿宋" w:eastAsia="仿宋" w:hAnsi="仿宋" w:hint="eastAsia"/>
        </w:rPr>
        <w:t>般公共预算财政拨款项目支出决算表</w:t>
      </w:r>
      <w:bookmarkEnd w:id="64"/>
    </w:p>
    <w:p w14:paraId="54845509" w14:textId="77777777" w:rsidR="009C4F3C" w:rsidRDefault="00EF39FE">
      <w:pPr>
        <w:pStyle w:val="2"/>
        <w:rPr>
          <w:rFonts w:ascii="仿宋" w:eastAsia="仿宋" w:hAnsi="仿宋" w:hint="eastAsia"/>
        </w:rPr>
      </w:pPr>
      <w:bookmarkStart w:id="65" w:name="_Toc15396628"/>
      <w:r>
        <w:rPr>
          <w:rStyle w:val="20"/>
          <w:rFonts w:ascii="仿宋" w:eastAsia="仿宋" w:hAnsi="仿宋" w:hint="eastAsia"/>
        </w:rPr>
        <w:t>十、</w:t>
      </w:r>
      <w:bookmarkEnd w:id="65"/>
      <w:r>
        <w:rPr>
          <w:rFonts w:ascii="仿宋" w:eastAsia="仿宋" w:hAnsi="仿宋" w:hint="eastAsia"/>
          <w:b w:val="0"/>
        </w:rPr>
        <w:t>政</w:t>
      </w:r>
      <w:r>
        <w:rPr>
          <w:rStyle w:val="20"/>
          <w:rFonts w:ascii="仿宋" w:eastAsia="仿宋" w:hAnsi="仿宋" w:hint="eastAsia"/>
        </w:rPr>
        <w:t>府性基金预算财政拨款收入支出决算表</w:t>
      </w:r>
    </w:p>
    <w:p w14:paraId="73BF2244" w14:textId="77777777" w:rsidR="009C4F3C" w:rsidRDefault="00EF39FE">
      <w:pPr>
        <w:pStyle w:val="2"/>
        <w:rPr>
          <w:rFonts w:ascii="仿宋" w:eastAsia="仿宋" w:hAnsi="仿宋" w:hint="eastAsia"/>
        </w:rPr>
      </w:pPr>
      <w:bookmarkStart w:id="66" w:name="_Toc15396629"/>
      <w:r>
        <w:rPr>
          <w:rStyle w:val="20"/>
          <w:rFonts w:ascii="仿宋" w:eastAsia="仿宋" w:hAnsi="仿宋" w:hint="eastAsia"/>
        </w:rPr>
        <w:t>十一、</w:t>
      </w:r>
      <w:bookmarkEnd w:id="66"/>
      <w:r>
        <w:rPr>
          <w:rFonts w:ascii="仿宋" w:eastAsia="仿宋" w:hAnsi="仿宋" w:hint="eastAsia"/>
          <w:b w:val="0"/>
        </w:rPr>
        <w:t>国</w:t>
      </w:r>
      <w:r>
        <w:rPr>
          <w:rStyle w:val="20"/>
          <w:rFonts w:ascii="仿宋" w:eastAsia="仿宋" w:hAnsi="仿宋" w:hint="eastAsia"/>
        </w:rPr>
        <w:t>有资本经营预算财政拨款收入支出决算表</w:t>
      </w:r>
    </w:p>
    <w:p w14:paraId="06928F68" w14:textId="77777777" w:rsidR="009C4F3C" w:rsidRDefault="00EF39FE">
      <w:pPr>
        <w:pStyle w:val="2"/>
        <w:rPr>
          <w:rFonts w:ascii="仿宋" w:eastAsia="仿宋" w:hAnsi="仿宋" w:hint="eastAsia"/>
        </w:rPr>
      </w:pPr>
      <w:bookmarkStart w:id="67" w:name="_Toc15396630"/>
      <w:r>
        <w:rPr>
          <w:rStyle w:val="20"/>
          <w:rFonts w:ascii="仿宋" w:eastAsia="仿宋" w:hAnsi="仿宋" w:hint="eastAsia"/>
        </w:rPr>
        <w:t>十二、</w:t>
      </w:r>
      <w:bookmarkEnd w:id="67"/>
      <w:r>
        <w:rPr>
          <w:rStyle w:val="20"/>
          <w:rFonts w:ascii="仿宋" w:eastAsia="仿宋" w:hAnsi="仿宋" w:hint="eastAsia"/>
        </w:rPr>
        <w:t>国有资本经营预算财政拨款支出决算表</w:t>
      </w:r>
    </w:p>
    <w:p w14:paraId="3F943045" w14:textId="77777777" w:rsidR="009C4F3C" w:rsidRDefault="00EF39FE">
      <w:pPr>
        <w:pStyle w:val="2"/>
        <w:rPr>
          <w:rStyle w:val="20"/>
          <w:rFonts w:ascii="仿宋" w:eastAsia="仿宋" w:hAnsi="仿宋" w:hint="eastAsia"/>
        </w:rPr>
      </w:pPr>
      <w:bookmarkStart w:id="68" w:name="_Toc15396631"/>
      <w:r>
        <w:rPr>
          <w:rStyle w:val="20"/>
          <w:rFonts w:ascii="仿宋" w:eastAsia="仿宋" w:hAnsi="仿宋" w:hint="eastAsia"/>
        </w:rPr>
        <w:t>十三、</w:t>
      </w:r>
      <w:bookmarkEnd w:id="68"/>
      <w:r>
        <w:rPr>
          <w:rStyle w:val="20"/>
          <w:rFonts w:ascii="仿宋" w:eastAsia="仿宋" w:hAnsi="仿宋" w:hint="eastAsia"/>
        </w:rPr>
        <w:t>财政拨款“三公”经费支出决算表</w:t>
      </w:r>
    </w:p>
    <w:p w14:paraId="330C9657" w14:textId="77777777" w:rsidR="009C4F3C" w:rsidRDefault="009C4F3C"/>
    <w:sectPr w:rsidR="009C4F3C">
      <w:headerReference w:type="default" r:id="rId19"/>
      <w:footerReference w:type="default" r:id="rId20"/>
      <w:footerReference w:type="first" r:id="rId21"/>
      <w:pgSz w:w="11906" w:h="16838"/>
      <w:pgMar w:top="1440" w:right="1800" w:bottom="1440" w:left="1800" w:header="851" w:footer="992" w:gutter="0"/>
      <w:pgNumType w:fmt="numberInDash"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DF3C0" w14:textId="77777777" w:rsidR="00EF39FE" w:rsidRDefault="00EF39FE">
      <w:r>
        <w:separator/>
      </w:r>
    </w:p>
  </w:endnote>
  <w:endnote w:type="continuationSeparator" w:id="0">
    <w:p w14:paraId="721A6914" w14:textId="77777777" w:rsidR="00EF39FE" w:rsidRDefault="00EF3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8D66F1-481E-4710-B911-7AA5DC6D1F0C}"/>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857F7071-4AA0-4E1C-91A6-53D0F123C57D}"/>
    <w:embedBold r:id="rId3" w:fontKey="{2BAE3FD0-B25B-49CF-8429-5F5F62ACB808}"/>
  </w:font>
  <w:font w:name="仿宋">
    <w:panose1 w:val="02010609060101010101"/>
    <w:charset w:val="86"/>
    <w:family w:val="modern"/>
    <w:pitch w:val="fixed"/>
    <w:sig w:usb0="800002BF" w:usb1="38CF7CFA" w:usb2="00000016" w:usb3="00000000" w:csb0="00040001" w:csb1="00000000"/>
    <w:embedRegular r:id="rId4" w:subsetted="1" w:fontKey="{4705A97B-ED2D-4E1C-BB09-ACAA2F7AA1C9}"/>
    <w:embedBold r:id="rId5" w:subsetted="1" w:fontKey="{99762E88-C775-4426-8D3C-7E20666A2CAF}"/>
  </w:font>
  <w:font w:name="仿宋_GB2312">
    <w:altName w:val="仿宋"/>
    <w:charset w:val="86"/>
    <w:family w:val="modern"/>
    <w:pitch w:val="default"/>
    <w:sig w:usb0="00000000" w:usb1="00000000" w:usb2="00000000" w:usb3="00000000" w:csb0="00040000" w:csb1="00000000"/>
    <w:embedRegular r:id="rId6" w:subsetted="1" w:fontKey="{2EF53080-4BCC-4558-8DED-B76B3F211195}"/>
    <w:embedBold r:id="rId7" w:subsetted="1" w:fontKey="{A63B2555-4F7C-474B-9606-0E1F949F6BEA}"/>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8" w:subsetted="1" w:fontKey="{18B72208-B290-4B4D-8FC4-8A94398BD108}"/>
    <w:embedBold r:id="rId9" w:subsetted="1" w:fontKey="{9DBCBEA6-A318-4100-ABD4-A16780DC8FC7}"/>
  </w:font>
  <w:font w:name="??">
    <w:altName w:val="仿宋"/>
    <w:charset w:val="00"/>
    <w:family w:val="roman"/>
    <w:pitch w:val="default"/>
  </w:font>
  <w:font w:name="微软雅黑">
    <w:panose1 w:val="020B0503020204020204"/>
    <w:charset w:val="86"/>
    <w:family w:val="swiss"/>
    <w:pitch w:val="variable"/>
    <w:sig w:usb0="80000287" w:usb1="2ACF3C50" w:usb2="00000016" w:usb3="00000000" w:csb0="0004001F" w:csb1="00000000"/>
    <w:embedRegular r:id="rId10" w:subsetted="1" w:fontKey="{2AAE2162-B4D8-4B58-A0AA-9619C3AE8C3F}"/>
    <w:embedItalic r:id="rId11" w:subsetted="1" w:fontKey="{BCCB553D-5225-4A07-BE25-E7CC4145E249}"/>
  </w:font>
  <w:font w:name="方正小标宋简体">
    <w:charset w:val="86"/>
    <w:family w:val="script"/>
    <w:pitch w:val="default"/>
    <w:sig w:usb0="00000001" w:usb1="08000000" w:usb2="00000000" w:usb3="00000000" w:csb0="00040000" w:csb1="00000000"/>
    <w:embedRegular r:id="rId12" w:subsetted="1" w:fontKey="{5C08E377-BA57-42C0-BD77-772F7D362565}"/>
  </w:font>
  <w:font w:name="CESI仿宋-GB2312">
    <w:altName w:val="仿宋"/>
    <w:charset w:val="86"/>
    <w:family w:val="auto"/>
    <w:pitch w:val="default"/>
    <w:sig w:usb0="00000000" w:usb1="00000000" w:usb2="00000010" w:usb3="00000000" w:csb0="0004000F" w:csb1="00000000"/>
    <w:embedRegular r:id="rId13" w:subsetted="1" w:fontKey="{F581324A-761B-4C77-9D8F-2584DF326CD2}"/>
    <w:embedBold r:id="rId14" w:subsetted="1" w:fontKey="{18C58545-ACA6-4D9A-B453-8DDBD9DB7758}"/>
  </w:font>
  <w:font w:name="楷体_GB2312">
    <w:altName w:val="楷体"/>
    <w:charset w:val="86"/>
    <w:family w:val="auto"/>
    <w:pitch w:val="default"/>
    <w:sig w:usb0="00000000" w:usb1="00000000" w:usb2="00000000" w:usb3="00000000" w:csb0="00040000" w:csb1="00000000"/>
    <w:embedRegular r:id="rId15" w:subsetted="1" w:fontKey="{4773673D-0E75-40BF-B82A-431834FBED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09429" w14:textId="77777777" w:rsidR="009C4F3C" w:rsidRDefault="00EF39FE">
    <w:pPr>
      <w:pStyle w:val="a8"/>
    </w:pPr>
    <w:r>
      <w:rPr>
        <w:noProof/>
      </w:rPr>
      <mc:AlternateContent>
        <mc:Choice Requires="wps">
          <w:drawing>
            <wp:anchor distT="0" distB="0" distL="114300" distR="114300" simplePos="0" relativeHeight="251670528" behindDoc="0" locked="0" layoutInCell="1" allowOverlap="1" wp14:anchorId="2E9997BF" wp14:editId="555F453D">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9BE63E9" w14:textId="77777777" w:rsidR="009C4F3C" w:rsidRDefault="00EF39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E9997BF" id="_x0000_t202" coordsize="21600,21600" o:spt="202" path="m,l,21600r21600,l21600,xe">
              <v:stroke joinstyle="miter"/>
              <v:path gradientshapeok="t" o:connecttype="rect"/>
            </v:shapetype>
            <v:shape id="文本框 15" o:spid="_x0000_s1027" type="#_x0000_t202" style="position:absolute;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29BE63E9" w14:textId="77777777" w:rsidR="009C4F3C" w:rsidRDefault="00EF39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A0F23" w14:textId="77777777" w:rsidR="009C4F3C" w:rsidRDefault="00EF39FE">
    <w:pPr>
      <w:pStyle w:val="a8"/>
    </w:pPr>
    <w:r>
      <w:rPr>
        <w:noProof/>
      </w:rPr>
      <mc:AlternateContent>
        <mc:Choice Requires="wps">
          <w:drawing>
            <wp:anchor distT="0" distB="0" distL="114300" distR="114300" simplePos="0" relativeHeight="251671552" behindDoc="0" locked="0" layoutInCell="1" allowOverlap="1" wp14:anchorId="42F0209C" wp14:editId="111FC649">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025B66" w14:textId="77777777" w:rsidR="009C4F3C" w:rsidRDefault="00EF39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2F0209C" id="_x0000_t202" coordsize="21600,21600" o:spt="202" path="m,l,21600r21600,l21600,xe">
              <v:stroke joinstyle="miter"/>
              <v:path gradientshapeok="t" o:connecttype="rect"/>
            </v:shapetype>
            <v:shape id="文本框 14" o:spid="_x0000_s1028" type="#_x0000_t202" style="position:absolute;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36025B66" w14:textId="77777777" w:rsidR="009C4F3C" w:rsidRDefault="00EF39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E2630" w14:textId="77777777" w:rsidR="009C4F3C" w:rsidRDefault="00EF39FE">
    <w:pPr>
      <w:pStyle w:val="a8"/>
      <w:jc w:val="center"/>
    </w:pPr>
    <w:r>
      <w:rPr>
        <w:noProof/>
      </w:rPr>
      <mc:AlternateContent>
        <mc:Choice Requires="wps">
          <w:drawing>
            <wp:anchor distT="0" distB="0" distL="114300" distR="114300" simplePos="0" relativeHeight="251659264" behindDoc="0" locked="0" layoutInCell="1" allowOverlap="1" wp14:anchorId="0B06882F" wp14:editId="14A3264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EndPr/>
                          <w:sdtContent>
                            <w:p w14:paraId="1DEECF83" w14:textId="77777777" w:rsidR="009C4F3C" w:rsidRDefault="00EF39FE">
                              <w:pPr>
                                <w:pStyle w:val="a8"/>
                                <w:jc w:val="center"/>
                              </w:pPr>
                              <w:r>
                                <w:rPr>
                                  <w:sz w:val="28"/>
                                </w:rPr>
                                <w:fldChar w:fldCharType="begin"/>
                              </w:r>
                              <w:r>
                                <w:rPr>
                                  <w:sz w:val="28"/>
                                </w:rPr>
                                <w:instrText>PAGE   \* MERGEFORMAT</w:instrText>
                              </w:r>
                              <w:r>
                                <w:rPr>
                                  <w:sz w:val="28"/>
                                </w:rPr>
                                <w:fldChar w:fldCharType="separate"/>
                              </w:r>
                              <w:r>
                                <w:rPr>
                                  <w:sz w:val="28"/>
                                  <w:lang w:val="zh-CN"/>
                                </w:rPr>
                                <w:t>8</w:t>
                              </w:r>
                              <w:r>
                                <w:rPr>
                                  <w:sz w:val="28"/>
                                </w:rPr>
                                <w:fldChar w:fldCharType="end"/>
                              </w:r>
                            </w:p>
                          </w:sdtContent>
                        </w:sdt>
                        <w:p w14:paraId="6D9B9FBE" w14:textId="77777777" w:rsidR="009C4F3C" w:rsidRDefault="009C4F3C">
                          <w:pPr>
                            <w:pStyle w:val="ac"/>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06882F" id="_x0000_t202" coordsize="21600,21600" o:spt="202" path="m,l,21600r21600,l21600,xe">
              <v:stroke joinstyle="miter"/>
              <v:path gradientshapeok="t" o:connecttype="rect"/>
            </v:shapetype>
            <v:shape id="文本框 1"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994781956"/>
                    </w:sdtPr>
                    <w:sdtEndPr/>
                    <w:sdtContent>
                      <w:p w14:paraId="1DEECF83" w14:textId="77777777" w:rsidR="009C4F3C" w:rsidRDefault="00EF39FE">
                        <w:pPr>
                          <w:pStyle w:val="a8"/>
                          <w:jc w:val="center"/>
                        </w:pPr>
                        <w:r>
                          <w:rPr>
                            <w:sz w:val="28"/>
                          </w:rPr>
                          <w:fldChar w:fldCharType="begin"/>
                        </w:r>
                        <w:r>
                          <w:rPr>
                            <w:sz w:val="28"/>
                          </w:rPr>
                          <w:instrText>PAGE   \* MERGEFORMAT</w:instrText>
                        </w:r>
                        <w:r>
                          <w:rPr>
                            <w:sz w:val="28"/>
                          </w:rPr>
                          <w:fldChar w:fldCharType="separate"/>
                        </w:r>
                        <w:r>
                          <w:rPr>
                            <w:sz w:val="28"/>
                            <w:lang w:val="zh-CN"/>
                          </w:rPr>
                          <w:t>8</w:t>
                        </w:r>
                        <w:r>
                          <w:rPr>
                            <w:sz w:val="28"/>
                          </w:rPr>
                          <w:fldChar w:fldCharType="end"/>
                        </w:r>
                      </w:p>
                    </w:sdtContent>
                  </w:sdt>
                  <w:p w14:paraId="6D9B9FBE" w14:textId="77777777" w:rsidR="009C4F3C" w:rsidRDefault="009C4F3C">
                    <w:pPr>
                      <w:pStyle w:val="ac"/>
                    </w:pPr>
                  </w:p>
                </w:txbxContent>
              </v:textbox>
              <w10:wrap anchorx="margin"/>
            </v:shape>
          </w:pict>
        </mc:Fallback>
      </mc:AlternateContent>
    </w:r>
  </w:p>
  <w:p w14:paraId="5E8BC472" w14:textId="77777777" w:rsidR="009C4F3C" w:rsidRDefault="009C4F3C">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D9305" w14:textId="77777777" w:rsidR="009C4F3C" w:rsidRDefault="00EF39FE">
    <w:pPr>
      <w:pStyle w:val="a8"/>
    </w:pPr>
    <w:r>
      <w:rPr>
        <w:noProof/>
      </w:rPr>
      <mc:AlternateContent>
        <mc:Choice Requires="wps">
          <w:drawing>
            <wp:anchor distT="0" distB="0" distL="114300" distR="114300" simplePos="0" relativeHeight="251660288" behindDoc="0" locked="0" layoutInCell="1" allowOverlap="1" wp14:anchorId="51FF4169" wp14:editId="487D4305">
              <wp:simplePos x="0" y="0"/>
              <wp:positionH relativeFrom="margin">
                <wp:align>center</wp:align>
              </wp:positionH>
              <wp:positionV relativeFrom="paragraph">
                <wp:posOffset>-16510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08DA5" w14:textId="77777777" w:rsidR="009C4F3C" w:rsidRDefault="00EF39FE">
                          <w:pPr>
                            <w:pStyle w:val="a8"/>
                            <w:rPr>
                              <w:sz w:val="28"/>
                              <w:szCs w:val="28"/>
                            </w:rPr>
                          </w:pPr>
                          <w:r>
                            <w:rPr>
                              <w:rFonts w:hint="eastAsia"/>
                              <w:sz w:val="28"/>
                              <w:szCs w:val="28"/>
                            </w:rPr>
                            <w:t>31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1FF4169" id="_x0000_t202" coordsize="21600,21600" o:spt="202" path="m,l,21600r21600,l21600,xe">
              <v:stroke joinstyle="miter"/>
              <v:path gradientshapeok="t" o:connecttype="rect"/>
            </v:shapetype>
            <v:shape id="文本框 2" o:spid="_x0000_s1030" type="#_x0000_t202" style="position:absolute;margin-left:0;margin-top:-1.3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AUER2H&#10;2wAAAAcBAAAPAAAAZHJzL2Rvd25yZXYueG1sTI9BT8MwDIXvSPyHyEjctpQypqo0nWCiHJFYOXDM&#10;GtN2a5wqybry7/FO7ObnZ733udjMdhAT+tA7UvCwTEAgNc701Cr4qqtFBiJETUYPjlDBLwbYlLc3&#10;hc6NO9MnTrvYCg6hkGsFXYxjLmVoOrQ6LN2IxN6P81ZHlr6Vxuszh9tBpkmyllb3xA2dHnHbYXPc&#10;nayCbVXXfsLgh298rx4PH68rfJuVur+bX55BRJzj/zFc8BkdSmbauxOZIAYF/EhUsEjXINhNs4wX&#10;+8vwtAJZFvKav/wDAAD//wMAUEsBAi0AFAAGAAgAAAAhALaDOJL+AAAA4QEAABMAAAAAAAAAAAAA&#10;AAAAAAAAAFtDb250ZW50X1R5cGVzXS54bWxQSwECLQAUAAYACAAAACEAOP0h/9YAAACUAQAACwAA&#10;AAAAAAAAAAAAAAAvAQAAX3JlbHMvLnJlbHNQSwECLQAUAAYACAAAACEApeRf1UECAADrBAAADgAA&#10;AAAAAAAAAAAAAAAuAgAAZHJzL2Uyb0RvYy54bWxQSwECLQAUAAYACAAAACEAFBEdh9sAAAAHAQAA&#10;DwAAAAAAAAAAAAAAAACbBAAAZHJzL2Rvd25yZXYueG1sUEsFBgAAAAAEAAQA8wAAAKMFAAAAAA==&#10;" filled="f" stroked="f" strokeweight=".5pt">
              <v:textbox style="mso-fit-shape-to-text:t" inset="0,0,0,0">
                <w:txbxContent>
                  <w:p w14:paraId="43108DA5" w14:textId="77777777" w:rsidR="009C4F3C" w:rsidRDefault="00EF39FE">
                    <w:pPr>
                      <w:pStyle w:val="a8"/>
                      <w:rPr>
                        <w:sz w:val="28"/>
                        <w:szCs w:val="28"/>
                      </w:rPr>
                    </w:pPr>
                    <w:r>
                      <w:rPr>
                        <w:rFonts w:hint="eastAsia"/>
                        <w:sz w:val="28"/>
                        <w:szCs w:val="28"/>
                      </w:rPr>
                      <w:t>31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C23FB" w14:textId="77777777" w:rsidR="00EF39FE" w:rsidRDefault="00EF39FE">
      <w:r>
        <w:separator/>
      </w:r>
    </w:p>
  </w:footnote>
  <w:footnote w:type="continuationSeparator" w:id="0">
    <w:p w14:paraId="77DBD56C" w14:textId="77777777" w:rsidR="00EF39FE" w:rsidRDefault="00EF3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CF2CC" w14:textId="77777777" w:rsidR="009C4F3C" w:rsidRDefault="009C4F3C">
    <w:pPr>
      <w:pStyle w:val="a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CC09B" w14:textId="77777777" w:rsidR="009C4F3C" w:rsidRDefault="009C4F3C">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652CEC"/>
    <w:multiLevelType w:val="singleLevel"/>
    <w:tmpl w:val="CF652CEC"/>
    <w:lvl w:ilvl="0">
      <w:start w:val="9"/>
      <w:numFmt w:val="chineseCounting"/>
      <w:suff w:val="nothing"/>
      <w:lvlText w:val="%1、"/>
      <w:lvlJc w:val="left"/>
      <w:rPr>
        <w:rFonts w:hint="eastAsia"/>
      </w:rPr>
    </w:lvl>
  </w:abstractNum>
  <w:abstractNum w:abstractNumId="1" w15:restartNumberingAfterBreak="0">
    <w:nsid w:val="E2FA047D"/>
    <w:multiLevelType w:val="singleLevel"/>
    <w:tmpl w:val="E2FA047D"/>
    <w:lvl w:ilvl="0">
      <w:start w:val="3"/>
      <w:numFmt w:val="chineseCounting"/>
      <w:suff w:val="space"/>
      <w:lvlText w:val="第%1部分"/>
      <w:lvlJc w:val="left"/>
      <w:rPr>
        <w:rFonts w:hint="eastAsia"/>
      </w:rPr>
    </w:lvl>
  </w:abstractNum>
  <w:abstractNum w:abstractNumId="2" w15:restartNumberingAfterBreak="0">
    <w:nsid w:val="1272550B"/>
    <w:multiLevelType w:val="multilevel"/>
    <w:tmpl w:val="1272550B"/>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15:restartNumberingAfterBreak="0">
    <w:nsid w:val="62ABA7D3"/>
    <w:multiLevelType w:val="singleLevel"/>
    <w:tmpl w:val="62ABA7D3"/>
    <w:lvl w:ilvl="0">
      <w:start w:val="1"/>
      <w:numFmt w:val="chineseCounting"/>
      <w:suff w:val="nothing"/>
      <w:lvlText w:val="%1、"/>
      <w:lvlJc w:val="left"/>
      <w:rPr>
        <w:rFonts w:hint="eastAsia"/>
      </w:rPr>
    </w:lvl>
  </w:abstractNum>
  <w:abstractNum w:abstractNumId="4" w15:restartNumberingAfterBreak="0">
    <w:nsid w:val="64DC3725"/>
    <w:multiLevelType w:val="singleLevel"/>
    <w:tmpl w:val="64DC3725"/>
    <w:lvl w:ilvl="0">
      <w:start w:val="1"/>
      <w:numFmt w:val="decimal"/>
      <w:suff w:val="nothing"/>
      <w:lvlText w:val="%1."/>
      <w:lvlJc w:val="left"/>
    </w:lvl>
  </w:abstractNum>
  <w:abstractNum w:abstractNumId="5" w15:restartNumberingAfterBreak="0">
    <w:nsid w:val="799E1692"/>
    <w:multiLevelType w:val="singleLevel"/>
    <w:tmpl w:val="799E1692"/>
    <w:lvl w:ilvl="0">
      <w:start w:val="1"/>
      <w:numFmt w:val="chineseCounting"/>
      <w:suff w:val="nothing"/>
      <w:lvlText w:val="%1、"/>
      <w:lvlJc w:val="left"/>
      <w:rPr>
        <w:rFonts w:hint="eastAsia"/>
      </w:rPr>
    </w:lvl>
  </w:abstractNum>
  <w:num w:numId="1" w16cid:durableId="74405658">
    <w:abstractNumId w:val="5"/>
  </w:num>
  <w:num w:numId="2" w16cid:durableId="795220552">
    <w:abstractNumId w:val="2"/>
  </w:num>
  <w:num w:numId="3" w16cid:durableId="2066754666">
    <w:abstractNumId w:val="4"/>
  </w:num>
  <w:num w:numId="4" w16cid:durableId="2003047546">
    <w:abstractNumId w:val="0"/>
  </w:num>
  <w:num w:numId="5" w16cid:durableId="782263084">
    <w:abstractNumId w:val="1"/>
  </w:num>
  <w:num w:numId="6" w16cid:durableId="1668053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ExYTM5ZjI0ZWZhZWE0NDAwY2MzZmQzOTJlY2ZlMGUifQ=="/>
  </w:docVars>
  <w:rsids>
    <w:rsidRoot w:val="00F1361C"/>
    <w:rsid w:val="99FF2014"/>
    <w:rsid w:val="A6DD0D7F"/>
    <w:rsid w:val="ADC6F725"/>
    <w:rsid w:val="B7CF06AB"/>
    <w:rsid w:val="B7CFA926"/>
    <w:rsid w:val="B7F8786B"/>
    <w:rsid w:val="BABB6AA1"/>
    <w:rsid w:val="BB2F4199"/>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FFA9E8"/>
    <w:rsid w:val="E5F4E9DC"/>
    <w:rsid w:val="E70FE695"/>
    <w:rsid w:val="EBC9881A"/>
    <w:rsid w:val="ECFED1BC"/>
    <w:rsid w:val="ED1D69BB"/>
    <w:rsid w:val="ED7FD312"/>
    <w:rsid w:val="EF53993F"/>
    <w:rsid w:val="EFBFB2F4"/>
    <w:rsid w:val="EFBFFA21"/>
    <w:rsid w:val="F2BEBCB8"/>
    <w:rsid w:val="F36FB518"/>
    <w:rsid w:val="F3DE1A04"/>
    <w:rsid w:val="F3F722E5"/>
    <w:rsid w:val="FA5F1E70"/>
    <w:rsid w:val="FA5FDB97"/>
    <w:rsid w:val="FB7F486A"/>
    <w:rsid w:val="FBFF5B2E"/>
    <w:rsid w:val="FD7FFE2B"/>
    <w:rsid w:val="FDEE196B"/>
    <w:rsid w:val="FDFBC2EE"/>
    <w:rsid w:val="FDFE6575"/>
    <w:rsid w:val="FEDFDDC2"/>
    <w:rsid w:val="FEED32F6"/>
    <w:rsid w:val="FEF781DD"/>
    <w:rsid w:val="FF3F7E3F"/>
    <w:rsid w:val="FFBA12D7"/>
    <w:rsid w:val="FFDFFAEE"/>
    <w:rsid w:val="FFF9B57B"/>
    <w:rsid w:val="FFFD61D9"/>
    <w:rsid w:val="FFFD8F59"/>
    <w:rsid w:val="FFFF2BB1"/>
    <w:rsid w:val="FFFFB04D"/>
    <w:rsid w:val="00012F58"/>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6508B"/>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2665"/>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C4F3C"/>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8D6"/>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3710"/>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39FE"/>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87"/>
    <w:rsid w:val="00FF30B4"/>
    <w:rsid w:val="015975B8"/>
    <w:rsid w:val="02FEBE30"/>
    <w:rsid w:val="061E35DE"/>
    <w:rsid w:val="066E0107"/>
    <w:rsid w:val="07996F6E"/>
    <w:rsid w:val="07DFD8BA"/>
    <w:rsid w:val="0A2032A3"/>
    <w:rsid w:val="0D35B1ED"/>
    <w:rsid w:val="0F98263C"/>
    <w:rsid w:val="101860EC"/>
    <w:rsid w:val="10C055FF"/>
    <w:rsid w:val="118107EC"/>
    <w:rsid w:val="13D50BC4"/>
    <w:rsid w:val="16BB723D"/>
    <w:rsid w:val="186504BB"/>
    <w:rsid w:val="1BE8440E"/>
    <w:rsid w:val="1D155CEE"/>
    <w:rsid w:val="1E740ACF"/>
    <w:rsid w:val="1FF35744"/>
    <w:rsid w:val="1FF6BC77"/>
    <w:rsid w:val="23860B96"/>
    <w:rsid w:val="240371BF"/>
    <w:rsid w:val="281408E2"/>
    <w:rsid w:val="29FD04D3"/>
    <w:rsid w:val="2BFF7BC6"/>
    <w:rsid w:val="2C8A61B5"/>
    <w:rsid w:val="2DF04E50"/>
    <w:rsid w:val="2F040D46"/>
    <w:rsid w:val="2FAE5751"/>
    <w:rsid w:val="2FB1A395"/>
    <w:rsid w:val="2FD9A7D8"/>
    <w:rsid w:val="319F7F4E"/>
    <w:rsid w:val="31E37DD6"/>
    <w:rsid w:val="3304709D"/>
    <w:rsid w:val="349D6851"/>
    <w:rsid w:val="36AA5135"/>
    <w:rsid w:val="36BE0DA7"/>
    <w:rsid w:val="376B6AA6"/>
    <w:rsid w:val="376D39B2"/>
    <w:rsid w:val="37E16F03"/>
    <w:rsid w:val="37F53A3B"/>
    <w:rsid w:val="389B6C89"/>
    <w:rsid w:val="38D469F0"/>
    <w:rsid w:val="397BAF1F"/>
    <w:rsid w:val="3AB79AF3"/>
    <w:rsid w:val="3B7EF35A"/>
    <w:rsid w:val="3B9FDB6C"/>
    <w:rsid w:val="3BF5BC2F"/>
    <w:rsid w:val="3CEBA265"/>
    <w:rsid w:val="3D98207C"/>
    <w:rsid w:val="3E78745D"/>
    <w:rsid w:val="3FF4CAE0"/>
    <w:rsid w:val="3FF7B227"/>
    <w:rsid w:val="44E268DA"/>
    <w:rsid w:val="4A627F82"/>
    <w:rsid w:val="4B0E749A"/>
    <w:rsid w:val="4B4F25DA"/>
    <w:rsid w:val="4BE068DB"/>
    <w:rsid w:val="4D577224"/>
    <w:rsid w:val="4DBF1CEB"/>
    <w:rsid w:val="4EAB630A"/>
    <w:rsid w:val="4ECE2238"/>
    <w:rsid w:val="4FE9BD67"/>
    <w:rsid w:val="4FFB052F"/>
    <w:rsid w:val="537E6D0A"/>
    <w:rsid w:val="53F74C96"/>
    <w:rsid w:val="56E47B74"/>
    <w:rsid w:val="57BD3DD4"/>
    <w:rsid w:val="5AF92295"/>
    <w:rsid w:val="5BDD79E6"/>
    <w:rsid w:val="5BFF5DFC"/>
    <w:rsid w:val="5CD71FC4"/>
    <w:rsid w:val="5D1F11B5"/>
    <w:rsid w:val="5DAE1B18"/>
    <w:rsid w:val="5DE7D9E5"/>
    <w:rsid w:val="5ECEC941"/>
    <w:rsid w:val="5FBF9FF3"/>
    <w:rsid w:val="5FCD4E2C"/>
    <w:rsid w:val="5FEF394A"/>
    <w:rsid w:val="5FF67715"/>
    <w:rsid w:val="62BF3928"/>
    <w:rsid w:val="647F5392"/>
    <w:rsid w:val="6C4A05C8"/>
    <w:rsid w:val="6C8742B8"/>
    <w:rsid w:val="6DBF5E93"/>
    <w:rsid w:val="6DFF077E"/>
    <w:rsid w:val="6E7E3605"/>
    <w:rsid w:val="6E7FDCC7"/>
    <w:rsid w:val="6ED6A62E"/>
    <w:rsid w:val="6EE00B15"/>
    <w:rsid w:val="6F6FB3EB"/>
    <w:rsid w:val="6F8731EA"/>
    <w:rsid w:val="6FCE6052"/>
    <w:rsid w:val="6FD57C00"/>
    <w:rsid w:val="6FEFFFD8"/>
    <w:rsid w:val="6FF5CC65"/>
    <w:rsid w:val="6FFB47EC"/>
    <w:rsid w:val="6FFF034A"/>
    <w:rsid w:val="712A28F1"/>
    <w:rsid w:val="715C0E4B"/>
    <w:rsid w:val="72233669"/>
    <w:rsid w:val="72734D90"/>
    <w:rsid w:val="7332FE48"/>
    <w:rsid w:val="73AB61DA"/>
    <w:rsid w:val="73AD73D5"/>
    <w:rsid w:val="73B6EB34"/>
    <w:rsid w:val="73FA497D"/>
    <w:rsid w:val="744731E5"/>
    <w:rsid w:val="74BBD01D"/>
    <w:rsid w:val="74ED5379"/>
    <w:rsid w:val="75DEEEC2"/>
    <w:rsid w:val="76E3355F"/>
    <w:rsid w:val="76FF5125"/>
    <w:rsid w:val="776F6FFA"/>
    <w:rsid w:val="778769C8"/>
    <w:rsid w:val="77DC22F5"/>
    <w:rsid w:val="78F05231"/>
    <w:rsid w:val="79D7FD79"/>
    <w:rsid w:val="79EE5BA4"/>
    <w:rsid w:val="7A894339"/>
    <w:rsid w:val="7AFF7572"/>
    <w:rsid w:val="7B6C7DFB"/>
    <w:rsid w:val="7BBFBED0"/>
    <w:rsid w:val="7BC3E394"/>
    <w:rsid w:val="7CBFC87B"/>
    <w:rsid w:val="7CFE0F48"/>
    <w:rsid w:val="7D7EC23E"/>
    <w:rsid w:val="7E8ADEBF"/>
    <w:rsid w:val="7EEF11D3"/>
    <w:rsid w:val="7F3F679B"/>
    <w:rsid w:val="7F4FC4EF"/>
    <w:rsid w:val="7F5E4D54"/>
    <w:rsid w:val="7FA30C79"/>
    <w:rsid w:val="7FAF8ABF"/>
    <w:rsid w:val="7FB7269E"/>
    <w:rsid w:val="7FC96657"/>
    <w:rsid w:val="7FDA9588"/>
    <w:rsid w:val="7FDF220F"/>
    <w:rsid w:val="7FEDC5F7"/>
    <w:rsid w:val="7FEDD9DE"/>
    <w:rsid w:val="7FF5890D"/>
    <w:rsid w:val="7FF934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52C86698"/>
  <w15:docId w15:val="{ECA1A885-008B-412B-8EDC-40A0C394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semiHidden="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Default"/>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qFormat/>
    <w:pPr>
      <w:widowControl w:val="0"/>
      <w:autoSpaceDE w:val="0"/>
      <w:autoSpaceDN w:val="0"/>
      <w:adjustRightInd w:val="0"/>
    </w:pPr>
    <w:rPr>
      <w:rFonts w:ascii="仿宋" w:eastAsia="仿宋" w:hAnsi="Calibri" w:cs="仿宋"/>
      <w:color w:val="000000"/>
      <w:sz w:val="24"/>
      <w:szCs w:val="24"/>
    </w:rPr>
  </w:style>
  <w:style w:type="paragraph" w:styleId="a3">
    <w:name w:val="Body Text"/>
    <w:basedOn w:val="a"/>
    <w:link w:val="a4"/>
    <w:uiPriority w:val="99"/>
    <w:qFormat/>
    <w:pPr>
      <w:spacing w:beforeLines="30"/>
    </w:pPr>
    <w:rPr>
      <w:rFonts w:ascii="仿宋_GB2312" w:eastAsia="仿宋_GB2312"/>
      <w:kern w:val="0"/>
      <w:sz w:val="30"/>
    </w:rPr>
  </w:style>
  <w:style w:type="paragraph" w:styleId="a5">
    <w:name w:val="Body Text Indent"/>
    <w:basedOn w:val="a"/>
    <w:next w:val="21"/>
    <w:qFormat/>
    <w:pPr>
      <w:spacing w:after="120"/>
      <w:ind w:leftChars="200" w:left="200"/>
    </w:pPr>
    <w:rPr>
      <w:rFonts w:ascii="仿宋_GB2312"/>
      <w:szCs w:val="32"/>
    </w:rPr>
  </w:style>
  <w:style w:type="paragraph" w:styleId="21">
    <w:name w:val="Body Text First Indent 2"/>
    <w:basedOn w:val="a5"/>
    <w:uiPriority w:val="99"/>
    <w:unhideWhenUsed/>
    <w:qFormat/>
    <w:pPr>
      <w:ind w:firstLineChars="200" w:firstLine="420"/>
    </w:pPr>
  </w:style>
  <w:style w:type="paragraph" w:styleId="TOC3">
    <w:name w:val="toc 3"/>
    <w:basedOn w:val="a"/>
    <w:next w:val="a"/>
    <w:uiPriority w:val="39"/>
    <w:unhideWhenUsed/>
    <w:qFormat/>
    <w:pPr>
      <w:tabs>
        <w:tab w:val="right" w:leader="dot" w:pos="8296"/>
      </w:tabs>
      <w:ind w:leftChars="400" w:left="84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qFormat/>
    <w:pPr>
      <w:tabs>
        <w:tab w:val="center" w:pos="4153"/>
        <w:tab w:val="right" w:pos="8306"/>
      </w:tabs>
      <w:snapToGrid w:val="0"/>
      <w:jc w:val="left"/>
    </w:pPr>
    <w:rPr>
      <w:rFonts w:ascii="Calibri" w:hAnsi="Calibri"/>
      <w:kern w:val="0"/>
      <w:sz w:val="18"/>
      <w:szCs w:val="18"/>
    </w:rPr>
  </w:style>
  <w:style w:type="paragraph" w:styleId="aa">
    <w:name w:val="header"/>
    <w:basedOn w:val="a"/>
    <w:link w:val="ab"/>
    <w:uiPriority w:val="99"/>
    <w:semiHidden/>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TOC1">
    <w:name w:val="toc 1"/>
    <w:basedOn w:val="a"/>
    <w:next w:val="a"/>
    <w:uiPriority w:val="39"/>
    <w:unhideWhenUsed/>
    <w:qFormat/>
    <w:pPr>
      <w:tabs>
        <w:tab w:val="right" w:leader="dot" w:pos="8296"/>
      </w:tabs>
      <w:spacing w:before="93"/>
      <w:jc w:val="center"/>
    </w:pPr>
    <w:rPr>
      <w:rFonts w:ascii="仿宋" w:eastAsia="仿宋" w:hAnsi="仿宋"/>
      <w:sz w:val="28"/>
      <w:szCs w:val="28"/>
    </w:rPr>
  </w:style>
  <w:style w:type="paragraph" w:styleId="ac">
    <w:name w:val="footnote text"/>
    <w:basedOn w:val="a"/>
    <w:next w:val="21"/>
    <w:semiHidden/>
    <w:qFormat/>
    <w:pPr>
      <w:snapToGrid w:val="0"/>
      <w:jc w:val="left"/>
    </w:pPr>
    <w:rPr>
      <w:sz w:val="18"/>
      <w:szCs w:val="18"/>
    </w:rPr>
  </w:style>
  <w:style w:type="paragraph" w:styleId="TOC2">
    <w:name w:val="toc 2"/>
    <w:basedOn w:val="a"/>
    <w:next w:val="a"/>
    <w:uiPriority w:val="39"/>
    <w:unhideWhenUsed/>
    <w:qFormat/>
    <w:pPr>
      <w:tabs>
        <w:tab w:val="right" w:leader="dot" w:pos="8296"/>
      </w:tabs>
      <w:ind w:leftChars="200" w:left="420"/>
    </w:pPr>
  </w:style>
  <w:style w:type="paragraph" w:styleId="ad">
    <w:name w:val="Title"/>
    <w:basedOn w:val="a"/>
    <w:next w:val="a"/>
    <w:qFormat/>
    <w:pPr>
      <w:spacing w:before="240" w:after="60"/>
      <w:jc w:val="center"/>
      <w:outlineLvl w:val="0"/>
    </w:pPr>
    <w:rPr>
      <w:rFonts w:ascii="Arial" w:hAnsi="Arial" w:cs="Arial"/>
      <w:b/>
      <w:bCs/>
      <w:sz w:val="32"/>
      <w:szCs w:val="32"/>
    </w:rPr>
  </w:style>
  <w:style w:type="character" w:styleId="ae">
    <w:name w:val="Strong"/>
    <w:basedOn w:val="a0"/>
    <w:uiPriority w:val="99"/>
    <w:qFormat/>
    <w:rPr>
      <w:b/>
    </w:rPr>
  </w:style>
  <w:style w:type="character" w:styleId="af">
    <w:name w:val="Hyperlink"/>
    <w:basedOn w:val="a0"/>
    <w:uiPriority w:val="99"/>
    <w:unhideWhenUsed/>
    <w:qFormat/>
    <w:rPr>
      <w:color w:val="0000FF" w:themeColor="hyperlink"/>
      <w:u w:val="single"/>
    </w:rPr>
  </w:style>
  <w:style w:type="paragraph" w:customStyle="1" w:styleId="5">
    <w:name w:val="标题 5（有编号）（绿盟科技）"/>
    <w:next w:val="a"/>
    <w:uiPriority w:val="99"/>
    <w:qFormat/>
    <w:pPr>
      <w:keepNext/>
      <w:keepLines/>
      <w:widowControl w:val="0"/>
      <w:spacing w:before="280" w:after="156" w:line="377" w:lineRule="auto"/>
      <w:outlineLvl w:val="4"/>
    </w:pPr>
    <w:rPr>
      <w:rFonts w:ascii="Arial" w:eastAsia="黑体" w:hAnsi="Arial" w:cs="Times New Roman"/>
      <w:b/>
      <w:kern w:val="2"/>
      <w:sz w:val="24"/>
      <w:szCs w:val="28"/>
    </w:rPr>
  </w:style>
  <w:style w:type="character" w:customStyle="1" w:styleId="HeaderChar">
    <w:name w:val="Header Char"/>
    <w:basedOn w:val="a0"/>
    <w:uiPriority w:val="99"/>
    <w:semiHidden/>
    <w:qFormat/>
    <w:rPr>
      <w:rFonts w:ascii="Times New Roman" w:hAnsi="Times New Roman"/>
      <w:sz w:val="18"/>
      <w:szCs w:val="18"/>
    </w:rPr>
  </w:style>
  <w:style w:type="character" w:customStyle="1" w:styleId="ab">
    <w:name w:val="页眉 字符"/>
    <w:link w:val="aa"/>
    <w:uiPriority w:val="99"/>
    <w:semiHidden/>
    <w:qFormat/>
    <w:locked/>
    <w:rPr>
      <w:sz w:val="18"/>
    </w:rPr>
  </w:style>
  <w:style w:type="character" w:customStyle="1" w:styleId="FooterChar">
    <w:name w:val="Footer Char"/>
    <w:basedOn w:val="a0"/>
    <w:uiPriority w:val="99"/>
    <w:semiHidden/>
    <w:qFormat/>
    <w:rPr>
      <w:rFonts w:ascii="Times New Roman" w:hAnsi="Times New Roman"/>
      <w:sz w:val="18"/>
      <w:szCs w:val="18"/>
    </w:rPr>
  </w:style>
  <w:style w:type="character" w:customStyle="1" w:styleId="a9">
    <w:name w:val="页脚 字符"/>
    <w:link w:val="a8"/>
    <w:uiPriority w:val="99"/>
    <w:qFormat/>
    <w:locked/>
    <w:rPr>
      <w:sz w:val="18"/>
    </w:rPr>
  </w:style>
  <w:style w:type="character" w:customStyle="1" w:styleId="BodyTextChar">
    <w:name w:val="Body Text Char"/>
    <w:basedOn w:val="a0"/>
    <w:uiPriority w:val="99"/>
    <w:semiHidden/>
    <w:qFormat/>
    <w:rPr>
      <w:rFonts w:ascii="Times New Roman" w:hAnsi="Times New Roman"/>
      <w:szCs w:val="24"/>
    </w:rPr>
  </w:style>
  <w:style w:type="character" w:customStyle="1" w:styleId="a4">
    <w:name w:val="正文文本 字符"/>
    <w:link w:val="a3"/>
    <w:uiPriority w:val="99"/>
    <w:qFormat/>
    <w:locked/>
    <w:rPr>
      <w:rFonts w:ascii="仿宋_GB2312" w:eastAsia="仿宋_GB2312" w:hAnsi="Times New Roman"/>
      <w:sz w:val="24"/>
    </w:rPr>
  </w:style>
  <w:style w:type="paragraph" w:styleId="af0">
    <w:name w:val="List Paragraph"/>
    <w:basedOn w:val="a"/>
    <w:uiPriority w:val="34"/>
    <w:qFormat/>
    <w:pPr>
      <w:ind w:firstLineChars="200" w:firstLine="420"/>
    </w:pPr>
  </w:style>
  <w:style w:type="character" w:customStyle="1" w:styleId="1Char">
    <w:name w:val="标题 1 Char"/>
    <w:basedOn w:val="a0"/>
    <w:uiPriority w:val="9"/>
    <w:qFormat/>
    <w:rPr>
      <w:rFonts w:ascii="Times New Roman" w:hAnsi="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7">
    <w:name w:val="批注框文本 字符"/>
    <w:basedOn w:val="a0"/>
    <w:link w:val="a6"/>
    <w:uiPriority w:val="99"/>
    <w:semiHidden/>
    <w:qFormat/>
    <w:rPr>
      <w:rFonts w:ascii="Times New Roman" w:hAnsi="Times New Roman"/>
      <w:kern w:val="2"/>
      <w:sz w:val="18"/>
      <w:szCs w:val="18"/>
    </w:rPr>
  </w:style>
  <w:style w:type="character" w:customStyle="1" w:styleId="30">
    <w:name w:val="标题 3 字符"/>
    <w:basedOn w:val="a0"/>
    <w:link w:val="3"/>
    <w:uiPriority w:val="9"/>
    <w:qFormat/>
    <w:rPr>
      <w:rFonts w:ascii="Times New Roman" w:hAnsi="Times New Roman"/>
      <w:b/>
      <w:bCs/>
      <w:kern w:val="2"/>
      <w:sz w:val="32"/>
      <w:szCs w:val="32"/>
    </w:rPr>
  </w:style>
  <w:style w:type="paragraph" w:customStyle="1" w:styleId="TOC20">
    <w:name w:val="TOC 标题2"/>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1">
    <w:name w:val="四号正文"/>
    <w:basedOn w:val="a"/>
    <w:qFormat/>
    <w:pPr>
      <w:spacing w:line="360" w:lineRule="auto"/>
    </w:pPr>
    <w:rPr>
      <w:rFonts w:ascii="??" w:hAnsi="??"/>
      <w:color w:val="000000"/>
      <w:kern w:val="0"/>
      <w:sz w:val="28"/>
      <w:szCs w:val="21"/>
      <w:lang w:val="zh-CN"/>
    </w:rPr>
  </w:style>
  <w:style w:type="character" w:customStyle="1" w:styleId="10">
    <w:name w:val="标题 1 字符"/>
    <w:basedOn w:val="a0"/>
    <w:link w:val="1"/>
    <w:uiPriority w:val="9"/>
    <w:qFormat/>
    <w:rPr>
      <w:rFonts w:ascii="Times New Roman" w:hAnsi="Times New Roman"/>
      <w:b/>
      <w:bCs/>
      <w:kern w:val="44"/>
      <w:sz w:val="44"/>
      <w:szCs w:val="44"/>
    </w:rPr>
  </w:style>
  <w:style w:type="paragraph" w:customStyle="1" w:styleId="Style1">
    <w:name w:val="_Style 1"/>
    <w:basedOn w:val="a"/>
    <w:uiPriority w:val="34"/>
    <w:qFormat/>
    <w:pPr>
      <w:ind w:firstLineChars="200" w:firstLine="420"/>
    </w:pPr>
    <w:rPr>
      <w:rFonts w:eastAsia="仿宋_GB2312"/>
      <w:sz w:val="32"/>
    </w:rPr>
  </w:style>
  <w:style w:type="character" w:customStyle="1" w:styleId="font41">
    <w:name w:val="font41"/>
    <w:basedOn w:val="a0"/>
    <w:qFormat/>
    <w:rPr>
      <w:rFonts w:ascii="微软雅黑" w:eastAsia="微软雅黑" w:hAnsi="微软雅黑" w:cs="微软雅黑" w:hint="eastAsia"/>
      <w:i/>
      <w:color w:val="000000"/>
      <w:sz w:val="12"/>
      <w:szCs w:val="12"/>
      <w:u w:val="none"/>
    </w:rPr>
  </w:style>
  <w:style w:type="character" w:customStyle="1" w:styleId="font51">
    <w:name w:val="font51"/>
    <w:basedOn w:val="a0"/>
    <w:qFormat/>
    <w:rPr>
      <w:rFonts w:ascii="宋体" w:eastAsia="宋体" w:hAnsi="宋体" w:cs="宋体"/>
      <w:i/>
      <w:color w:val="000000"/>
      <w:sz w:val="12"/>
      <w:szCs w:val="1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2" Type="http://schemas.openxmlformats.org/officeDocument/2006/relationships/oleObject" Target="/media/KINGSTON/2023&#24180;&#30465;&#25919;&#24220;&#37096;&#38376;&#20915;&#31639;/&#22522;&#30784;&#20449;&#24687;/&#31185;&#23398;&#22478;&#21150;&#20107;&#22788;.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media/KINGSTON/2023&#24180;&#30465;&#25919;&#24220;&#37096;&#38376;&#20915;&#31639;/&#22522;&#30784;&#20449;&#24687;/&#31185;&#23398;&#22478;&#21150;&#20107;&#22788;.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D:\&#30465;&#25253;&#34920;\2023\2022&#24180;&#24230;&#30465;&#32423;&#37096;&#38376;&#20915;&#31639;\&#22522;&#30784;&#36164;&#26009;\&#22270;&#34920;-2022.xls"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26446;&#26216;&#38745;\&#30465;&#36130;&#25919;&#21381;&#37096;&#38376;&#20915;&#31639;\2022&#24180;&#30465;&#25919;&#24220;&#20915;&#31639;\&#31185;&#23398;&#22478;&#21150;&#20107;&#22788;.xl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media/KINGSTON/2023&#24180;&#30465;&#25919;&#24220;&#37096;&#38376;&#20915;&#31639;/&#22522;&#30784;&#20449;&#24687;/&#31185;&#23398;&#22478;&#21150;&#20107;&#22788;.xls"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D:\&#30465;&#25253;&#34920;\2023\2022&#24180;&#24230;&#30465;&#32423;&#37096;&#38376;&#20915;&#31639;\&#22522;&#30784;&#36164;&#26009;\&#22270;&#34920;-2022.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I:\2022&#24180;&#30465;&#25919;&#24220;&#20915;&#31639;\&#38468;&#20214;3.&#30465;&#25919;&#24220;&#31185;&#23398;&#22478;&#21150;&#20107;&#22788;2022&#24180;&#37096;&#38376;&#20915;&#31639;&#25253;&#34920;.xls"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rgbClr val="595959">
                    <a:lumMod val="65000"/>
                    <a:lumOff val="35000"/>
                  </a:srgbClr>
                </a:solidFill>
                <a:latin typeface="+mn-lt"/>
                <a:ea typeface="+mn-ea"/>
                <a:cs typeface="+mn-cs"/>
              </a:defRPr>
            </a:pPr>
            <a:r>
              <a:rPr lang="zh-CN" altLang="en-US" sz="1400" b="0" i="0" u="none" strike="noStrike" baseline="0">
                <a:solidFill>
                  <a:srgbClr val="333333"/>
                </a:solidFill>
                <a:latin typeface="宋体" panose="02010600030101010101" charset="-122"/>
                <a:ea typeface="宋体" panose="02010600030101010101" charset="-122"/>
                <a:cs typeface="宋体" panose="02010600030101010101" charset="-122"/>
              </a:rPr>
              <a:t>图</a:t>
            </a:r>
            <a:r>
              <a:rPr lang="en-US" altLang="zh-CN" sz="1400" b="0" i="0" u="none" strike="noStrike" baseline="0">
                <a:solidFill>
                  <a:srgbClr val="333333"/>
                </a:solidFill>
                <a:latin typeface="Calibri" panose="020F0502020204030204" pitchFamily="2" charset="0"/>
                <a:ea typeface="Calibri" panose="020F0502020204030204" pitchFamily="2" charset="0"/>
                <a:cs typeface="Calibri" panose="020F0502020204030204" pitchFamily="2" charset="0"/>
              </a:rPr>
              <a:t>1</a:t>
            </a:r>
            <a:r>
              <a:rPr lang="zh-CN" altLang="en-US" sz="1400" b="0" i="0" u="none" strike="noStrike" baseline="0">
                <a:solidFill>
                  <a:srgbClr val="333333"/>
                </a:solidFill>
                <a:latin typeface="宋体" panose="02010600030101010101" charset="-122"/>
                <a:ea typeface="宋体" panose="02010600030101010101" charset="-122"/>
                <a:cs typeface="宋体" panose="02010600030101010101" charset="-122"/>
              </a:rPr>
              <a:t>：收、支年初较上年变动情况图</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18991216396060701"/>
          <c:y val="4.2368681863230902E-2"/>
        </c:manualLayout>
      </c:layout>
      <c:overlay val="0"/>
      <c:spPr>
        <a:noFill/>
        <a:ln>
          <a:noFill/>
        </a:ln>
        <a:effectLst/>
      </c:spPr>
    </c:title>
    <c:autoTitleDeleted val="0"/>
    <c:plotArea>
      <c:layout/>
      <c:barChart>
        <c:barDir val="col"/>
        <c:grouping val="stacked"/>
        <c:varyColors val="0"/>
        <c:ser>
          <c:idx val="0"/>
          <c:order val="0"/>
          <c:tx>
            <c:strRef>
              <c:f>[科学城办事处.xls]Sheet2!$B$1</c:f>
              <c:strCache>
                <c:ptCount val="1"/>
                <c:pt idx="0">
                  <c:v>收入、支出</c:v>
                </c:pt>
              </c:strCache>
            </c:strRef>
          </c:tx>
          <c:spPr>
            <a:solidFill>
              <a:srgbClr val="019199"/>
            </a:solidFill>
            <a:ln w="25400">
              <a:solidFill>
                <a:srgbClr val="FFFFFF"/>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[科学城办事处.xls]Sheet2!$A$2:$A$3</c:f>
              <c:strCache>
                <c:ptCount val="2"/>
                <c:pt idx="0">
                  <c:v>2023年</c:v>
                </c:pt>
                <c:pt idx="1">
                  <c:v>2022年</c:v>
                </c:pt>
              </c:strCache>
            </c:strRef>
          </c:cat>
          <c:val>
            <c:numRef>
              <c:f>[科学城办事处.xls]Sheet2!$B$2:$B$3</c:f>
              <c:numCache>
                <c:formatCode>General</c:formatCode>
                <c:ptCount val="2"/>
                <c:pt idx="0">
                  <c:v>1430.22</c:v>
                </c:pt>
                <c:pt idx="1">
                  <c:v>1436.26</c:v>
                </c:pt>
              </c:numCache>
            </c:numRef>
          </c:val>
          <c:extLst>
            <c:ext xmlns:c16="http://schemas.microsoft.com/office/drawing/2014/chart" uri="{C3380CC4-5D6E-409C-BE32-E72D297353CC}">
              <c16:uniqueId val="{00000000-8960-4E65-9C30-A9BB580443AA}"/>
            </c:ext>
          </c:extLst>
        </c:ser>
        <c:dLbls>
          <c:showLegendKey val="0"/>
          <c:showVal val="0"/>
          <c:showCatName val="0"/>
          <c:showSerName val="0"/>
          <c:showPercent val="0"/>
          <c:showBubbleSize val="0"/>
        </c:dLbls>
        <c:gapWidth val="100"/>
        <c:overlap val="100"/>
        <c:axId val="664734774"/>
        <c:axId val="555752189"/>
      </c:barChart>
      <c:catAx>
        <c:axId val="664734774"/>
        <c:scaling>
          <c:orientation val="minMax"/>
        </c:scaling>
        <c:delete val="0"/>
        <c:axPos val="b"/>
        <c:numFmt formatCode="General" sourceLinked="0"/>
        <c:majorTickMark val="out"/>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555752189"/>
        <c:crosses val="autoZero"/>
        <c:auto val="1"/>
        <c:lblAlgn val="ctr"/>
        <c:lblOffset val="100"/>
        <c:noMultiLvlLbl val="0"/>
      </c:catAx>
      <c:valAx>
        <c:axId val="555752189"/>
        <c:scaling>
          <c:orientation val="minMax"/>
        </c:scaling>
        <c:delete val="0"/>
        <c:axPos val="l"/>
        <c:majorGridlines>
          <c:spPr>
            <a:ln w="9525" cap="flat" cmpd="sng" algn="ctr">
              <a:solidFill>
                <a:sysClr val="windowText" lastClr="000000">
                  <a:lumMod val="25000"/>
                  <a:lumOff val="75000"/>
                  <a:alpha val="30000"/>
                </a:sys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664734774"/>
        <c:crosses val="autoZero"/>
        <c:crossBetween val="between"/>
      </c:valAx>
      <c:dTable>
        <c:showHorzBorder val="1"/>
        <c:showVertBorder val="1"/>
        <c:showOutline val="1"/>
        <c:showKeys val="1"/>
        <c:spPr>
          <a:noFill/>
          <a:ln w="9525" cap="flat" cmpd="sng" algn="ctr">
            <a:solidFill>
              <a:srgbClr val="D9D9D9">
                <a:lumMod val="15000"/>
                <a:lumOff val="85000"/>
              </a:srgbClr>
            </a:solidFill>
            <a:prstDash val="solid"/>
            <a:round/>
          </a:ln>
          <a:effectLst/>
        </c:spPr>
        <c:txPr>
          <a:bodyPr rot="0" spcFirstLastPara="0" vertOverflow="ellipsis" vert="horz" wrap="square" anchor="ctr" anchorCtr="1"/>
          <a:lstStyle/>
          <a:p>
            <a:pPr rtl="0">
              <a:defRPr lang="zh-CN" sz="900" b="0" i="0" u="none" strike="noStrike" kern="1200" baseline="0">
                <a:solidFill>
                  <a:srgbClr val="595959">
                    <a:lumMod val="65000"/>
                    <a:lumOff val="35000"/>
                  </a:srgbClr>
                </a:solidFill>
                <a:latin typeface="+mn-lt"/>
                <a:ea typeface="+mn-ea"/>
                <a:cs typeface="+mn-cs"/>
              </a:defRPr>
            </a:pPr>
            <a:endParaRPr lang="zh-CN"/>
          </a:p>
        </c:txPr>
      </c:dTable>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213662186504101"/>
          <c:y val="2.9289724188430601E-2"/>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endParaRPr lang="zh-CN"/>
        </a:p>
      </c:txPr>
    </c:title>
    <c:autoTitleDeleted val="0"/>
    <c:plotArea>
      <c:layout>
        <c:manualLayout>
          <c:layoutTarget val="inner"/>
          <c:xMode val="edge"/>
          <c:yMode val="edge"/>
          <c:x val="0.14872080088987799"/>
          <c:y val="0.213274541656997"/>
          <c:w val="0.82861512791991099"/>
          <c:h val="0.71139475516361095"/>
        </c:manualLayout>
      </c:layout>
      <c:barChart>
        <c:barDir val="col"/>
        <c:grouping val="clustered"/>
        <c:varyColors val="0"/>
        <c:ser>
          <c:idx val="0"/>
          <c:order val="0"/>
          <c:tx>
            <c:strRef>
              <c:f>[科学城办事处.xls]Sheet2!$M$2</c:f>
              <c:strCache>
                <c:ptCount val="1"/>
                <c:pt idx="0">
                  <c:v>收、支决算较上年变动情况</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trendline>
            <c:spPr>
              <a:ln w="19050" cap="rnd">
                <a:solidFill>
                  <a:srgbClr val="4F81BD"/>
                </a:solidFill>
                <a:prstDash val="sysDot"/>
              </a:ln>
              <a:effectLst/>
            </c:spPr>
            <c:trendlineType val="linear"/>
            <c:dispRSqr val="0"/>
            <c:dispEq val="0"/>
          </c:trendline>
          <c:cat>
            <c:strRef>
              <c:f>[科学城办事处.xls]Sheet2!$L$3:$L$4</c:f>
              <c:strCache>
                <c:ptCount val="2"/>
                <c:pt idx="0">
                  <c:v>2023年</c:v>
                </c:pt>
                <c:pt idx="1">
                  <c:v>2022年</c:v>
                </c:pt>
              </c:strCache>
            </c:strRef>
          </c:cat>
          <c:val>
            <c:numRef>
              <c:f>[科学城办事处.xls]Sheet2!$M$3:$M$4</c:f>
              <c:numCache>
                <c:formatCode>General</c:formatCode>
                <c:ptCount val="2"/>
                <c:pt idx="0" formatCode="0.00_ ">
                  <c:v>1532.32</c:v>
                </c:pt>
                <c:pt idx="1">
                  <c:v>1437.32</c:v>
                </c:pt>
              </c:numCache>
            </c:numRef>
          </c:val>
          <c:extLst>
            <c:ext xmlns:c16="http://schemas.microsoft.com/office/drawing/2014/chart" uri="{C3380CC4-5D6E-409C-BE32-E72D297353CC}">
              <c16:uniqueId val="{00000001-5ECE-47A6-AD29-EAF8D1CBA761}"/>
            </c:ext>
          </c:extLst>
        </c:ser>
        <c:dLbls>
          <c:showLegendKey val="0"/>
          <c:showVal val="1"/>
          <c:showCatName val="0"/>
          <c:showSerName val="0"/>
          <c:showPercent val="0"/>
          <c:showBubbleSize val="0"/>
        </c:dLbls>
        <c:gapWidth val="219"/>
        <c:overlap val="-27"/>
        <c:axId val="68766879"/>
        <c:axId val="116426203"/>
      </c:barChart>
      <c:catAx>
        <c:axId val="68766879"/>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16426203"/>
        <c:crosses val="autoZero"/>
        <c:auto val="1"/>
        <c:lblAlgn val="ctr"/>
        <c:lblOffset val="100"/>
        <c:noMultiLvlLbl val="0"/>
      </c:catAx>
      <c:valAx>
        <c:axId val="116426203"/>
        <c:scaling>
          <c:orientation val="minMax"/>
        </c:scaling>
        <c:delete val="0"/>
        <c:axPos val="l"/>
        <c:majorGridlines>
          <c:spPr>
            <a:ln w="9525" cap="flat" cmpd="sng" algn="ctr">
              <a:solidFill>
                <a:srgbClr val="D9D9D9">
                  <a:lumMod val="15000"/>
                  <a:lumOff val="85000"/>
                </a:srgb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68766879"/>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2:</a:t>
            </a:r>
            <a:r>
              <a:rPr lang="zh-CN" altLang="en-US"/>
              <a:t>收入决算结构图</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收入决算结构图</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34-4971-9E4C-B7844CB29EE3}"/>
              </c:ext>
            </c:extLst>
          </c:dPt>
          <c:dLbls>
            <c:dLbl>
              <c:idx val="0"/>
              <c:layout>
                <c:manualLayout>
                  <c:x val="-1.60587361648785E-2"/>
                  <c:y val="-0.27753339587746501"/>
                </c:manualLayout>
              </c:layout>
              <c:tx>
                <c:rich>
                  <a:bodyPr/>
                  <a:lstStyle/>
                  <a:p>
                    <a:r>
                      <a:rPr lang="en-US" altLang="zh-CN"/>
                      <a:t>1532.32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C34-4971-9E4C-B7844CB29EE3}"/>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c:f>
              <c:strCache>
                <c:ptCount val="1"/>
                <c:pt idx="0">
                  <c:v>一般公共预算财政拨款收入</c:v>
                </c:pt>
              </c:strCache>
            </c:strRef>
          </c:cat>
          <c:val>
            <c:numRef>
              <c:f>Sheet1!$B$2</c:f>
              <c:numCache>
                <c:formatCode>General</c:formatCode>
                <c:ptCount val="1"/>
                <c:pt idx="0">
                  <c:v>1437.32</c:v>
                </c:pt>
              </c:numCache>
            </c:numRef>
          </c:val>
          <c:extLst>
            <c:ext xmlns:c16="http://schemas.microsoft.com/office/drawing/2014/chart" uri="{C3380CC4-5D6E-409C-BE32-E72D297353CC}">
              <c16:uniqueId val="{00000002-7C34-4971-9E4C-B7844CB29EE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t>图</a:t>
            </a:r>
            <a:r>
              <a:rPr lang="en-US" altLang="zh-CN" sz="1400"/>
              <a:t>3</a:t>
            </a:r>
            <a:r>
              <a:rPr lang="zh-CN" altLang="en-US" sz="1400"/>
              <a:t>：支出决算结构图 </a:t>
            </a:r>
            <a:r>
              <a:rPr lang="zh-CN" altLang="en-US" sz="1600"/>
              <a:t>             </a:t>
            </a:r>
            <a:r>
              <a:rPr lang="zh-CN" altLang="en-US" sz="1200"/>
              <a:t>金额：万元</a:t>
            </a:r>
          </a:p>
        </c:rich>
      </c:tx>
      <c:layout>
        <c:manualLayout>
          <c:xMode val="edge"/>
          <c:yMode val="edge"/>
          <c:x val="0.19118030093566499"/>
          <c:y val="2.77778857889678E-2"/>
        </c:manualLayout>
      </c:layout>
      <c:overlay val="0"/>
    </c:title>
    <c:autoTitleDeleted val="0"/>
    <c:plotArea>
      <c:layout/>
      <c:pieChart>
        <c:varyColors val="1"/>
        <c:ser>
          <c:idx val="0"/>
          <c:order val="0"/>
          <c:tx>
            <c:strRef>
              <c:f>Sheet1!$A$31</c:f>
              <c:strCache>
                <c:ptCount val="1"/>
                <c:pt idx="0">
                  <c:v>金额</c:v>
                </c:pt>
              </c:strCache>
            </c:strRef>
          </c:tx>
          <c:explosion val="25"/>
          <c:dPt>
            <c:idx val="0"/>
            <c:bubble3D val="0"/>
            <c:extLst>
              <c:ext xmlns:c16="http://schemas.microsoft.com/office/drawing/2014/chart" uri="{C3380CC4-5D6E-409C-BE32-E72D297353CC}">
                <c16:uniqueId val="{00000000-E95D-4D82-BBB7-477A68634683}"/>
              </c:ext>
            </c:extLst>
          </c:dPt>
          <c:dPt>
            <c:idx val="1"/>
            <c:bubble3D val="0"/>
            <c:extLst>
              <c:ext xmlns:c16="http://schemas.microsoft.com/office/drawing/2014/chart" uri="{C3380CC4-5D6E-409C-BE32-E72D297353CC}">
                <c16:uniqueId val="{00000001-E95D-4D82-BBB7-477A68634683}"/>
              </c:ext>
            </c:extLst>
          </c:dPt>
          <c:dLbls>
            <c:dLbl>
              <c:idx val="0"/>
              <c:layout>
                <c:manualLayout>
                  <c:x val="2.74437882764655E-2"/>
                  <c:y val="-7.37492709244678E-2"/>
                </c:manualLayout>
              </c:layout>
              <c:tx>
                <c:rich>
                  <a:bodyPr/>
                  <a:lstStyle/>
                  <a:p>
                    <a:r>
                      <a:rPr lang="en-US" altLang="zh-CN"/>
                      <a:t>311.00</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2594767752269099"/>
                      <c:h val="0.158683514545989"/>
                    </c:manualLayout>
                  </c15:layout>
                  <c15:showDataLabelsRange val="0"/>
                </c:ext>
                <c:ext xmlns:c16="http://schemas.microsoft.com/office/drawing/2014/chart" uri="{C3380CC4-5D6E-409C-BE32-E72D297353CC}">
                  <c16:uniqueId val="{00000000-E95D-4D82-BBB7-477A68634683}"/>
                </c:ext>
              </c:extLst>
            </c:dLbl>
            <c:dLbl>
              <c:idx val="1"/>
              <c:layout>
                <c:manualLayout>
                  <c:x val="0.24627786369378199"/>
                  <c:y val="-6.9423734244175805E-2"/>
                </c:manualLayout>
              </c:layout>
              <c:tx>
                <c:rich>
                  <a:bodyPr/>
                  <a:lstStyle/>
                  <a:p>
                    <a:r>
                      <a:rPr lang="en-US" altLang="zh-CN"/>
                      <a:t>1221.32</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7026161238654598"/>
                      <c:h val="0.148986188657067"/>
                    </c:manualLayout>
                  </c15:layout>
                  <c15:showDataLabelsRange val="0"/>
                </c:ext>
                <c:ext xmlns:c16="http://schemas.microsoft.com/office/drawing/2014/chart" uri="{C3380CC4-5D6E-409C-BE32-E72D297353CC}">
                  <c16:uniqueId val="{00000001-E95D-4D82-BBB7-477A68634683}"/>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Sheet1!$B$30:$C$30</c:f>
              <c:strCache>
                <c:ptCount val="2"/>
                <c:pt idx="0">
                  <c:v>基本支出</c:v>
                </c:pt>
                <c:pt idx="1">
                  <c:v>项目支出</c:v>
                </c:pt>
              </c:strCache>
            </c:strRef>
          </c:cat>
          <c:val>
            <c:numRef>
              <c:f>Sheet1!$B$31:$C$31</c:f>
              <c:numCache>
                <c:formatCode>#,##0.00</c:formatCode>
                <c:ptCount val="2"/>
                <c:pt idx="0">
                  <c:v>309.06</c:v>
                </c:pt>
                <c:pt idx="1">
                  <c:v>1128.26</c:v>
                </c:pt>
              </c:numCache>
            </c:numRef>
          </c:val>
          <c:extLst>
            <c:ext xmlns:c16="http://schemas.microsoft.com/office/drawing/2014/chart" uri="{C3380CC4-5D6E-409C-BE32-E72D297353CC}">
              <c16:uniqueId val="{00000002-E95D-4D82-BBB7-477A68634683}"/>
            </c:ext>
          </c:extLst>
        </c:ser>
        <c:dLbls>
          <c:showLegendKey val="0"/>
          <c:showVal val="1"/>
          <c:showCatName val="0"/>
          <c:showSerName val="0"/>
          <c:showPercent val="0"/>
          <c:showBubbleSize val="0"/>
          <c:showLeaderLines val="1"/>
        </c:dLbls>
        <c:firstSliceAng val="15"/>
      </c:pieChart>
      <c:spPr>
        <a:noFill/>
        <a:ln>
          <a:noFill/>
        </a:ln>
        <a:effectLst/>
      </c:spPr>
    </c:plotArea>
    <c:legend>
      <c:legendPos val="r"/>
      <c:layout>
        <c:manualLayout>
          <c:xMode val="edge"/>
          <c:yMode val="edge"/>
          <c:x val="0.70167004048583004"/>
          <c:y val="0.5829670329670330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4</a:t>
            </a:r>
            <a:r>
              <a:rPr lang="zh-CN" altLang="en-US"/>
              <a:t>：财政拨款收、支决算总计变动情况</a:t>
            </a:r>
          </a:p>
        </c:rich>
      </c:tx>
      <c:overlay val="0"/>
      <c:spPr>
        <a:noFill/>
        <a:ln>
          <a:noFill/>
        </a:ln>
        <a:effectLst/>
      </c:spPr>
      <c:txPr>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stacked"/>
        <c:varyColors val="0"/>
        <c:ser>
          <c:idx val="0"/>
          <c:order val="0"/>
          <c:tx>
            <c:strRef>
              <c:f>[科学城办事处.xls]Sheet2!$B$1</c:f>
              <c:strCache>
                <c:ptCount val="1"/>
                <c:pt idx="0">
                  <c:v>收入、支出</c:v>
                </c:pt>
              </c:strCache>
            </c:strRef>
          </c:tx>
          <c:spPr>
            <a:solidFill>
              <a:srgbClr val="019199"/>
            </a:solidFill>
            <a:ln w="25400">
              <a:solidFill>
                <a:schemeClr val="bg1"/>
              </a:solidFill>
            </a:ln>
            <a:effectLst/>
          </c:spPr>
          <c:invertIfNegative val="0"/>
          <c:dLbls>
            <c:dLbl>
              <c:idx val="0"/>
              <c:tx>
                <c:rich>
                  <a:bodyPr/>
                  <a:lstStyle/>
                  <a:p>
                    <a:r>
                      <a:rPr lang="en-US" altLang="zh-CN"/>
                      <a:t>1532.32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AE1-46CD-AB3D-D23F2A1AA2BA}"/>
                </c:ext>
              </c:extLst>
            </c:dLbl>
            <c:dLbl>
              <c:idx val="1"/>
              <c:tx>
                <c:rich>
                  <a:bodyPr/>
                  <a:lstStyle/>
                  <a:p>
                    <a:r>
                      <a:rPr lang="en-US" altLang="zh-CN"/>
                      <a:t>1437.32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AE1-46CD-AB3D-D23F2A1AA2BA}"/>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[科学城办事处.xls]Sheet2!$A$2:$A$3</c:f>
              <c:strCache>
                <c:ptCount val="2"/>
                <c:pt idx="0">
                  <c:v>2022年</c:v>
                </c:pt>
                <c:pt idx="1">
                  <c:v>2021年</c:v>
                </c:pt>
              </c:strCache>
            </c:strRef>
          </c:cat>
          <c:val>
            <c:numRef>
              <c:f>[科学城办事处.xls]Sheet2!$B$2:$B$3</c:f>
              <c:numCache>
                <c:formatCode>General</c:formatCode>
                <c:ptCount val="2"/>
                <c:pt idx="0">
                  <c:v>1437.32</c:v>
                </c:pt>
                <c:pt idx="1">
                  <c:v>1437.21</c:v>
                </c:pt>
              </c:numCache>
            </c:numRef>
          </c:val>
          <c:extLst>
            <c:ext xmlns:c16="http://schemas.microsoft.com/office/drawing/2014/chart" uri="{C3380CC4-5D6E-409C-BE32-E72D297353CC}">
              <c16:uniqueId val="{00000002-CAE1-46CD-AB3D-D23F2A1AA2BA}"/>
            </c:ext>
          </c:extLst>
        </c:ser>
        <c:dLbls>
          <c:showLegendKey val="0"/>
          <c:showVal val="1"/>
          <c:showCatName val="0"/>
          <c:showSerName val="0"/>
          <c:showPercent val="0"/>
          <c:showBubbleSize val="0"/>
        </c:dLbls>
        <c:gapWidth val="100"/>
        <c:overlap val="100"/>
        <c:axId val="83037568"/>
        <c:axId val="83039360"/>
      </c:barChart>
      <c:catAx>
        <c:axId val="83037568"/>
        <c:scaling>
          <c:orientation val="minMax"/>
        </c:scaling>
        <c:delete val="1"/>
        <c:axPos val="b"/>
        <c:numFmt formatCode="General" sourceLinked="1"/>
        <c:majorTickMark val="out"/>
        <c:minorTickMark val="none"/>
        <c:tickLblPos val="nextTo"/>
        <c:crossAx val="83039360"/>
        <c:crosses val="autoZero"/>
        <c:auto val="1"/>
        <c:lblAlgn val="ctr"/>
        <c:lblOffset val="100"/>
        <c:noMultiLvlLbl val="0"/>
      </c:catAx>
      <c:valAx>
        <c:axId val="83039360"/>
        <c:scaling>
          <c:orientation val="minMax"/>
        </c:scaling>
        <c:delete val="1"/>
        <c:axPos val="l"/>
        <c:majorGridlines>
          <c:spPr>
            <a:ln w="9525" cap="flat" cmpd="sng" algn="ctr">
              <a:solidFill>
                <a:sysClr val="windowText" lastClr="000000">
                  <a:lumMod val="25000"/>
                  <a:lumOff val="75000"/>
                  <a:alpha val="30000"/>
                </a:sysClr>
              </a:solidFill>
              <a:round/>
            </a:ln>
            <a:effectLst/>
          </c:spPr>
        </c:majorGridlines>
        <c:numFmt formatCode="General" sourceLinked="1"/>
        <c:majorTickMark val="out"/>
        <c:minorTickMark val="none"/>
        <c:tickLblPos val="nextTo"/>
        <c:crossAx val="8303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zh-CN" altLang="en-US" sz="1200">
                <a:latin typeface="+mj-ea"/>
                <a:ea typeface="+mj-ea"/>
                <a:cs typeface="+mj-ea"/>
              </a:rPr>
              <a:t>图</a:t>
            </a:r>
            <a:r>
              <a:rPr lang="en-US" altLang="zh-CN" sz="1200">
                <a:latin typeface="+mj-ea"/>
                <a:ea typeface="+mj-ea"/>
                <a:cs typeface="+mj-ea"/>
              </a:rPr>
              <a:t>5</a:t>
            </a:r>
            <a:r>
              <a:rPr lang="zh-CN" altLang="en-US" sz="1200">
                <a:latin typeface="+mj-ea"/>
                <a:ea typeface="+mj-ea"/>
                <a:cs typeface="+mj-ea"/>
              </a:rPr>
              <a:t>：一般公共预算财政拨款支出决算变动情况</a:t>
            </a:r>
          </a:p>
        </c:rich>
      </c:tx>
      <c:layout>
        <c:manualLayout>
          <c:xMode val="edge"/>
          <c:yMode val="edge"/>
          <c:x val="0.12339357403411801"/>
          <c:y val="1.9542683111614601E-2"/>
        </c:manualLayout>
      </c:layout>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endParaRPr lang="zh-CN"/>
        </a:p>
      </c:txPr>
    </c:title>
    <c:autoTitleDeleted val="0"/>
    <c:plotArea>
      <c:layout>
        <c:manualLayout>
          <c:layoutTarget val="inner"/>
          <c:xMode val="edge"/>
          <c:yMode val="edge"/>
          <c:x val="0.14274193548387101"/>
          <c:y val="0.227800829875519"/>
          <c:w val="0.82861512791991099"/>
          <c:h val="0.67228215767634902"/>
        </c:manualLayout>
      </c:layout>
      <c:barChart>
        <c:barDir val="col"/>
        <c:grouping val="clustered"/>
        <c:varyColors val="0"/>
        <c:ser>
          <c:idx val="0"/>
          <c:order val="0"/>
          <c:tx>
            <c:strRef>
              <c:f>[科学城办事处.xls]Sheet2!$M$2</c:f>
              <c:strCache>
                <c:ptCount val="1"/>
                <c:pt idx="0">
                  <c:v>收、支决算较上年变动情况</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round/>
                    </a:ln>
                    <a:effectLst/>
                  </c:spPr>
                </c15:leaderLines>
              </c:ext>
            </c:extLst>
          </c:dLbls>
          <c:trendline>
            <c:spPr>
              <a:ln w="19050" cap="rnd">
                <a:solidFill>
                  <a:srgbClr val="4F81BD"/>
                </a:solidFill>
                <a:prstDash val="sysDot"/>
              </a:ln>
              <a:effectLst/>
            </c:spPr>
            <c:trendlineType val="linear"/>
            <c:dispRSqr val="0"/>
            <c:dispEq val="0"/>
          </c:trendline>
          <c:cat>
            <c:strRef>
              <c:f>[科学城办事处.xls]Sheet2!$L$3:$L$4</c:f>
              <c:strCache>
                <c:ptCount val="2"/>
                <c:pt idx="0">
                  <c:v>2023年</c:v>
                </c:pt>
                <c:pt idx="1">
                  <c:v>2022年</c:v>
                </c:pt>
              </c:strCache>
            </c:strRef>
          </c:cat>
          <c:val>
            <c:numRef>
              <c:f>[科学城办事处.xls]Sheet2!$M$3:$M$4</c:f>
              <c:numCache>
                <c:formatCode>General</c:formatCode>
                <c:ptCount val="2"/>
                <c:pt idx="0" formatCode="0.00_ ">
                  <c:v>1532.32</c:v>
                </c:pt>
                <c:pt idx="1">
                  <c:v>1437.32</c:v>
                </c:pt>
              </c:numCache>
            </c:numRef>
          </c:val>
          <c:extLst>
            <c:ext xmlns:c16="http://schemas.microsoft.com/office/drawing/2014/chart" uri="{C3380CC4-5D6E-409C-BE32-E72D297353CC}">
              <c16:uniqueId val="{00000001-FA01-4973-A5AF-AA01CEFF65F1}"/>
            </c:ext>
          </c:extLst>
        </c:ser>
        <c:dLbls>
          <c:showLegendKey val="0"/>
          <c:showVal val="1"/>
          <c:showCatName val="0"/>
          <c:showSerName val="0"/>
          <c:showPercent val="0"/>
          <c:showBubbleSize val="0"/>
        </c:dLbls>
        <c:gapWidth val="219"/>
        <c:overlap val="-27"/>
        <c:axId val="68766879"/>
        <c:axId val="116426203"/>
      </c:barChart>
      <c:catAx>
        <c:axId val="68766879"/>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116426203"/>
        <c:crosses val="autoZero"/>
        <c:auto val="1"/>
        <c:lblAlgn val="ctr"/>
        <c:lblOffset val="100"/>
        <c:noMultiLvlLbl val="0"/>
      </c:catAx>
      <c:valAx>
        <c:axId val="116426203"/>
        <c:scaling>
          <c:orientation val="minMax"/>
        </c:scaling>
        <c:delete val="0"/>
        <c:axPos val="l"/>
        <c:majorGridlines>
          <c:spPr>
            <a:ln w="9525" cap="flat" cmpd="sng" algn="ctr">
              <a:solidFill>
                <a:srgbClr val="D9D9D9">
                  <a:lumMod val="15000"/>
                  <a:lumOff val="85000"/>
                </a:srgb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68766879"/>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按支出功能分类</a:t>
            </a:r>
          </a:p>
        </c:rich>
      </c:tx>
      <c:overlay val="0"/>
    </c:title>
    <c:autoTitleDeleted val="0"/>
    <c:plotArea>
      <c:layout>
        <c:manualLayout>
          <c:layoutTarget val="inner"/>
          <c:xMode val="edge"/>
          <c:yMode val="edge"/>
          <c:x val="9.87578695830231E-2"/>
          <c:y val="0.33954189065776702"/>
          <c:w val="0.45647669129587598"/>
          <c:h val="0.52496525094139201"/>
        </c:manualLayout>
      </c:layout>
      <c:pieChart>
        <c:varyColors val="1"/>
        <c:ser>
          <c:idx val="0"/>
          <c:order val="0"/>
          <c:tx>
            <c:strRef>
              <c:f>Sheet1!$K$58</c:f>
              <c:strCache>
                <c:ptCount val="1"/>
                <c:pt idx="0">
                  <c:v>金额</c:v>
                </c:pt>
              </c:strCache>
            </c:strRef>
          </c:tx>
          <c:explosion val="25"/>
          <c:dPt>
            <c:idx val="0"/>
            <c:bubble3D val="0"/>
            <c:extLst>
              <c:ext xmlns:c16="http://schemas.microsoft.com/office/drawing/2014/chart" uri="{C3380CC4-5D6E-409C-BE32-E72D297353CC}">
                <c16:uniqueId val="{00000000-588E-4981-8939-F8616CD8E551}"/>
              </c:ext>
            </c:extLst>
          </c:dPt>
          <c:dPt>
            <c:idx val="1"/>
            <c:bubble3D val="0"/>
            <c:extLst>
              <c:ext xmlns:c16="http://schemas.microsoft.com/office/drawing/2014/chart" uri="{C3380CC4-5D6E-409C-BE32-E72D297353CC}">
                <c16:uniqueId val="{00000001-588E-4981-8939-F8616CD8E551}"/>
              </c:ext>
            </c:extLst>
          </c:dPt>
          <c:dPt>
            <c:idx val="2"/>
            <c:bubble3D val="0"/>
            <c:extLst>
              <c:ext xmlns:c16="http://schemas.microsoft.com/office/drawing/2014/chart" uri="{C3380CC4-5D6E-409C-BE32-E72D297353CC}">
                <c16:uniqueId val="{00000002-588E-4981-8939-F8616CD8E551}"/>
              </c:ext>
            </c:extLst>
          </c:dPt>
          <c:dLbls>
            <c:dLbl>
              <c:idx val="0"/>
              <c:tx>
                <c:rich>
                  <a:bodyPr/>
                  <a:lstStyle/>
                  <a:p>
                    <a:r>
                      <a:rPr lang="en-US" altLang="zh-CN"/>
                      <a:t>1406.33</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7443334145747"/>
                      <c:h val="0.151472650771388"/>
                    </c:manualLayout>
                  </c15:layout>
                  <c15:showDataLabelsRange val="0"/>
                </c:ext>
                <c:ext xmlns:c16="http://schemas.microsoft.com/office/drawing/2014/chart" uri="{C3380CC4-5D6E-409C-BE32-E72D297353CC}">
                  <c16:uniqueId val="{00000000-588E-4981-8939-F8616CD8E551}"/>
                </c:ext>
              </c:extLst>
            </c:dLbl>
            <c:dLbl>
              <c:idx val="1"/>
              <c:tx>
                <c:rich>
                  <a:bodyPr/>
                  <a:lstStyle/>
                  <a:p>
                    <a:r>
                      <a:rPr lang="en-US" altLang="zh-CN"/>
                      <a:t>125.99</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0294906166219798"/>
                      <c:h val="0.151472650771388"/>
                    </c:manualLayout>
                  </c15:layout>
                  <c15:showDataLabelsRange val="0"/>
                </c:ext>
                <c:ext xmlns:c16="http://schemas.microsoft.com/office/drawing/2014/chart" uri="{C3380CC4-5D6E-409C-BE32-E72D297353CC}">
                  <c16:uniqueId val="{00000001-588E-4981-8939-F8616CD8E551}"/>
                </c:ext>
              </c:extLst>
            </c:dLbl>
            <c:dLbl>
              <c:idx val="2"/>
              <c:delete val="1"/>
              <c:extLst>
                <c:ext xmlns:c15="http://schemas.microsoft.com/office/drawing/2012/chart" uri="{CE6537A1-D6FC-4f65-9D91-7224C49458BB}"/>
                <c:ext xmlns:c16="http://schemas.microsoft.com/office/drawing/2014/chart" uri="{C3380CC4-5D6E-409C-BE32-E72D297353CC}">
                  <c16:uniqueId val="{00000002-588E-4981-8939-F8616CD8E551}"/>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Sheet1!$L$57:$N$57</c:f>
              <c:strCache>
                <c:ptCount val="2"/>
                <c:pt idx="0">
                  <c:v>一般公共服务支出</c:v>
                </c:pt>
                <c:pt idx="1">
                  <c:v>卫生健康支出</c:v>
                </c:pt>
              </c:strCache>
            </c:strRef>
          </c:cat>
          <c:val>
            <c:numRef>
              <c:f>Sheet1!$L$58:$N$58</c:f>
              <c:numCache>
                <c:formatCode>General</c:formatCode>
                <c:ptCount val="3"/>
                <c:pt idx="0">
                  <c:v>1402.75</c:v>
                </c:pt>
                <c:pt idx="1">
                  <c:v>34.57</c:v>
                </c:pt>
              </c:numCache>
            </c:numRef>
          </c:val>
          <c:extLst>
            <c:ext xmlns:c16="http://schemas.microsoft.com/office/drawing/2014/chart" uri="{C3380CC4-5D6E-409C-BE32-E72D297353CC}">
              <c16:uniqueId val="{00000003-588E-4981-8939-F8616CD8E551}"/>
            </c:ext>
          </c:extLst>
        </c:ser>
        <c:dLbls>
          <c:showLegendKey val="0"/>
          <c:showVal val="1"/>
          <c:showCatName val="0"/>
          <c:showSerName val="0"/>
          <c:showPercent val="0"/>
          <c:showBubbleSize val="0"/>
          <c:showLeaderLines val="1"/>
        </c:dLbls>
        <c:firstSliceAng val="0"/>
      </c:pieChart>
    </c:plotArea>
    <c:legend>
      <c:legendPos val="r"/>
      <c:legendEntry>
        <c:idx val="2"/>
        <c:delete val="1"/>
      </c:legendEntry>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40" b="0" i="0" u="none" strike="noStrike" kern="1200" spc="0" baseline="0">
                <a:solidFill>
                  <a:schemeClr val="tx1">
                    <a:lumMod val="65000"/>
                    <a:lumOff val="35000"/>
                  </a:schemeClr>
                </a:solidFill>
                <a:latin typeface="+mn-lt"/>
                <a:ea typeface="+mn-ea"/>
                <a:cs typeface="+mn-cs"/>
              </a:defRPr>
            </a:pPr>
            <a:r>
              <a:rPr lang="zh-CN" altLang="en-US"/>
              <a:t>图</a:t>
            </a:r>
            <a:r>
              <a:rPr lang="en-US" altLang="zh-CN"/>
              <a:t>7</a:t>
            </a:r>
            <a:r>
              <a:rPr lang="zh-CN" altLang="en-US"/>
              <a:t>：“三公”经费财政拨款支出结构</a:t>
            </a:r>
          </a:p>
        </c:rich>
      </c:tx>
      <c:layout>
        <c:manualLayout>
          <c:xMode val="edge"/>
          <c:yMode val="edge"/>
          <c:x val="0.246111111111111"/>
          <c:y val="0.90400059318971104"/>
        </c:manualLayout>
      </c:layout>
      <c:overlay val="0"/>
      <c:spPr>
        <a:noFill/>
        <a:ln>
          <a:noFill/>
        </a:ln>
        <a:effectLst/>
      </c:spPr>
      <c:txPr>
        <a:bodyPr rot="0" spcFirstLastPara="0" vertOverflow="ellipsis" vert="horz" wrap="square" anchor="ctr" anchorCtr="1"/>
        <a:lstStyle/>
        <a:p>
          <a:pPr defTabSz="914400">
            <a:defRPr lang="zh-CN" sz="144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[附件3.省政府科学城办事处2022年部门决算报表.xls]Sheet1!$B$2</c:f>
              <c:strCache>
                <c:ptCount val="1"/>
                <c:pt idx="0">
                  <c:v>支出金额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6B-4604-8228-2C1A0B0BE1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6B-4604-8228-2C1A0B0BE1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6B-4604-8228-2C1A0B0BE1C5}"/>
              </c:ext>
            </c:extLst>
          </c:dPt>
          <c:dLbls>
            <c:dLbl>
              <c:idx val="0"/>
              <c:layout>
                <c:manualLayout>
                  <c:x val="-4.8333333333333402E-2"/>
                  <c:y val="9.0277777777777804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6805555555556"/>
                      <c:h val="0.163888888888889"/>
                    </c:manualLayout>
                  </c15:layout>
                </c:ext>
                <c:ext xmlns:c16="http://schemas.microsoft.com/office/drawing/2014/chart" uri="{C3380CC4-5D6E-409C-BE32-E72D297353CC}">
                  <c16:uniqueId val="{00000001-D46B-4604-8228-2C1A0B0BE1C5}"/>
                </c:ext>
              </c:extLst>
            </c:dLbl>
            <c:dLbl>
              <c:idx val="1"/>
              <c:layout>
                <c:manualLayout>
                  <c:x val="-1.4999999999999999E-2"/>
                  <c:y val="-0.211244074153978"/>
                </c:manualLayout>
              </c:layout>
              <c:tx>
                <c:rich>
                  <a:bodyPr/>
                  <a:lstStyle/>
                  <a:p>
                    <a:r>
                      <a:rPr lang="zh-CN" altLang="en-US"/>
                      <a:t>公务用车购置及运行维护费</a:t>
                    </a:r>
                  </a:p>
                  <a:p>
                    <a:r>
                      <a:rPr lang="en-US" altLang="zh-CN"/>
                      <a:t>98.40%</a:t>
                    </a:r>
                  </a:p>
                </c:rich>
              </c:tx>
              <c:dLblPos val="bestFit"/>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D46B-4604-8228-2C1A0B0BE1C5}"/>
                </c:ext>
              </c:extLst>
            </c:dLbl>
            <c:dLbl>
              <c:idx val="2"/>
              <c:layout>
                <c:manualLayout>
                  <c:x val="0.207074851929162"/>
                  <c:y val="1.70878818587849E-2"/>
                </c:manualLayout>
              </c:layout>
              <c:tx>
                <c:rich>
                  <a:bodyPr/>
                  <a:lstStyle/>
                  <a:p>
                    <a:r>
                      <a:rPr lang="zh-CN" altLang="en-US"/>
                      <a:t>公务接待费</a:t>
                    </a:r>
                  </a:p>
                  <a:p>
                    <a:r>
                      <a:rPr lang="en-US" altLang="zh-CN"/>
                      <a:t>1.64%</a:t>
                    </a:r>
                  </a:p>
                </c:rich>
              </c:tx>
              <c:dLblPos val="bestFit"/>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D46B-4604-8228-2C1A0B0BE1C5}"/>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[附件3.省政府科学城办事处2022年部门决算报表.xls]Sheet1!$A$3:$A$5</c:f>
              <c:strCache>
                <c:ptCount val="3"/>
                <c:pt idx="0">
                  <c:v>因公出国（境）费</c:v>
                </c:pt>
                <c:pt idx="1">
                  <c:v>公务用车购置及运行维护费</c:v>
                </c:pt>
                <c:pt idx="2">
                  <c:v>公务接待费</c:v>
                </c:pt>
              </c:strCache>
            </c:strRef>
          </c:cat>
          <c:val>
            <c:numRef>
              <c:f>[附件3.省政府科学城办事处2022年部门决算报表.xls]Sheet1!$B$3:$B$5</c:f>
              <c:numCache>
                <c:formatCode>General</c:formatCode>
                <c:ptCount val="3"/>
                <c:pt idx="0">
                  <c:v>0</c:v>
                </c:pt>
                <c:pt idx="1">
                  <c:v>96.53</c:v>
                </c:pt>
                <c:pt idx="2">
                  <c:v>0.53</c:v>
                </c:pt>
              </c:numCache>
            </c:numRef>
          </c:val>
          <c:extLst>
            <c:ext xmlns:c16="http://schemas.microsoft.com/office/drawing/2014/chart" uri="{C3380CC4-5D6E-409C-BE32-E72D297353CC}">
              <c16:uniqueId val="{00000006-D46B-4604-8228-2C1A0B0BE1C5}"/>
            </c:ext>
          </c:extLst>
        </c:ser>
        <c:ser>
          <c:idx val="1"/>
          <c:order val="1"/>
          <c:tx>
            <c:strRef>
              <c:f>[附件3.省政府科学城办事处2022年部门决算报表.xls]Sheet1!$C$2</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D46B-4604-8228-2C1A0B0BE1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D46B-4604-8228-2C1A0B0BE1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D46B-4604-8228-2C1A0B0BE1C5}"/>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[附件3.省政府科学城办事处2022年部门决算报表.xls]Sheet1!$A$3:$A$5</c:f>
              <c:strCache>
                <c:ptCount val="3"/>
                <c:pt idx="0">
                  <c:v>因公出国（境）费</c:v>
                </c:pt>
                <c:pt idx="1">
                  <c:v>公务用车购置及运行维护费</c:v>
                </c:pt>
                <c:pt idx="2">
                  <c:v>公务接待费</c:v>
                </c:pt>
              </c:strCache>
            </c:strRef>
          </c:cat>
          <c:val>
            <c:numRef>
              <c:f>[附件3.省政府科学城办事处2022年部门决算报表.xls]Sheet1!$C$3:$C$5</c:f>
              <c:numCache>
                <c:formatCode>0.00%</c:formatCode>
                <c:ptCount val="3"/>
                <c:pt idx="0" formatCode="General">
                  <c:v>0</c:v>
                </c:pt>
                <c:pt idx="1">
                  <c:v>0.99450000000000005</c:v>
                </c:pt>
                <c:pt idx="2">
                  <c:v>5.4999999999999997E-3</c:v>
                </c:pt>
              </c:numCache>
            </c:numRef>
          </c:val>
          <c:extLst>
            <c:ext xmlns:c16="http://schemas.microsoft.com/office/drawing/2014/chart" uri="{C3380CC4-5D6E-409C-BE32-E72D297353CC}">
              <c16:uniqueId val="{0000000D-D46B-4604-8228-2C1A0B0BE1C5}"/>
            </c:ext>
          </c:extLst>
        </c:ser>
        <c:dLbls>
          <c:showLegendKey val="0"/>
          <c:showVal val="0"/>
          <c:showCatName val="1"/>
          <c:showSerName val="0"/>
          <c:showPercent val="1"/>
          <c:showBubbleSize val="0"/>
          <c:showLeaderLines val="1"/>
        </c:dLbls>
        <c:firstSliceAng val="0"/>
      </c:pieChart>
      <c:spPr>
        <a:noFill/>
        <a:ln>
          <a:noFill/>
        </a:ln>
        <a:effectLst/>
      </c:spPr>
    </c:plotArea>
    <c:legend>
      <c:legendPos val="r"/>
      <c:layout>
        <c:manualLayout>
          <c:xMode val="edge"/>
          <c:yMode val="edge"/>
          <c:x val="0.62152777777777801"/>
          <c:y val="0.317988969028425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31</Pages>
  <Words>2080</Words>
  <Characters>11858</Characters>
  <Application>Microsoft Office Word</Application>
  <DocSecurity>0</DocSecurity>
  <Lines>98</Lines>
  <Paragraphs>27</Paragraphs>
  <ScaleCrop>false</ScaleCrop>
  <Company>四川省财政厅</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Hong Young</cp:lastModifiedBy>
  <cp:revision>34</cp:revision>
  <cp:lastPrinted>2024-08-05T17:44:00Z</cp:lastPrinted>
  <dcterms:created xsi:type="dcterms:W3CDTF">2020-08-09T01:49:00Z</dcterms:created>
  <dcterms:modified xsi:type="dcterms:W3CDTF">2024-09-02T03:14:00Z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750A6D960B054541BD729308339C8A62_12</vt:lpwstr>
  </property>
</Properties>
</file>