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78441"/>
      <w:bookmarkStart w:id="2" w:name="_Toc15396475"/>
      <w:bookmarkStart w:id="3" w:name="_Toc15377425"/>
      <w:bookmarkStart w:id="4" w:name="_Toc15396597"/>
      <w:bookmarkStart w:id="5" w:name="_Toc15306267"/>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96476"/>
      <w:bookmarkStart w:id="7" w:name="_Toc15396598"/>
      <w:bookmarkStart w:id="8" w:name="_Toc15377426"/>
      <w:bookmarkStart w:id="9" w:name="_Toc15377194"/>
      <w:bookmarkStart w:id="10" w:name="_Toc15378442"/>
      <w:r>
        <w:rPr>
          <w:rFonts w:hint="eastAsia" w:ascii="Times New Roman" w:eastAsia="方正小标宋简体" w:cs="Times New Roman"/>
          <w:color w:val="auto"/>
          <w:kern w:val="2"/>
          <w:sz w:val="44"/>
          <w:szCs w:val="44"/>
          <w:highlight w:val="none"/>
          <w:lang w:val="en-US" w:eastAsia="zh-CN" w:bidi="ar-SA"/>
        </w:rPr>
        <w:t>2025年度</w:t>
      </w:r>
      <w:r>
        <w:rPr>
          <w:rFonts w:hint="eastAsia" w:ascii="Times New Roman" w:hAnsi="Times New Roman" w:eastAsia="方正小标宋简体" w:cs="Times New Roman"/>
          <w:color w:val="auto"/>
          <w:kern w:val="2"/>
          <w:sz w:val="44"/>
          <w:szCs w:val="44"/>
          <w:highlight w:val="none"/>
          <w:lang w:val="en-US" w:eastAsia="zh-CN" w:bidi="ar-SA"/>
        </w:rPr>
        <w:t>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科学城办事处</w:t>
      </w: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pPr>
        <w:widowControl/>
        <w:jc w:val="center"/>
        <w:rPr>
          <w:rFonts w:hint="eastAsia" w:ascii="Times New Roman" w:hAnsi="Times New Roman" w:eastAsia="黑体"/>
          <w:color w:val="auto"/>
          <w:sz w:val="48"/>
          <w:szCs w:val="48"/>
          <w:highlight w:val="none"/>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bookmarkStart w:id="66" w:name="_GoBack"/>
      <w:bookmarkEnd w:id="66"/>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2025年度</w:t>
      </w:r>
      <w:r>
        <w:rPr>
          <w:rFonts w:hint="eastAsia" w:ascii="Times New Roman" w:hAnsi="Times New Roman" w:eastAsia="黑体" w:cs="黑体"/>
          <w:color w:val="auto"/>
          <w:sz w:val="32"/>
          <w:szCs w:val="32"/>
          <w:highlight w:val="none"/>
        </w:rPr>
        <w:t>部门决算情况说明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2"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96599"/>
      <w:bookmarkStart w:id="13" w:name="_Toc15377196"/>
      <w:r>
        <w:rPr>
          <w:rFonts w:hint="eastAsia" w:ascii="Times New Roman" w:hAnsi="Times New Roman" w:eastAsia="仿宋_GB2312" w:cs="仿宋_GB2312"/>
          <w:b/>
          <w:color w:val="auto"/>
          <w:sz w:val="32"/>
          <w:szCs w:val="32"/>
          <w:highlight w:val="none"/>
        </w:rPr>
        <w:br w:type="page"/>
      </w:r>
    </w:p>
    <w:p>
      <w:pPr>
        <w:pStyle w:val="3"/>
        <w:jc w:val="center"/>
        <w:rPr>
          <w:rStyle w:val="28"/>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12"/>
      <w:bookmarkEnd w:id="13"/>
    </w:p>
    <w:p>
      <w:pPr>
        <w:widowControl/>
        <w:jc w:val="left"/>
        <w:rPr>
          <w:rFonts w:ascii="Times New Roman" w:hAnsi="Times New Roman" w:eastAsia="黑体"/>
          <w:color w:val="auto"/>
          <w:sz w:val="32"/>
          <w:szCs w:val="32"/>
          <w:highlight w:val="none"/>
        </w:rPr>
      </w:pPr>
    </w:p>
    <w:p>
      <w:pPr>
        <w:pStyle w:val="4"/>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snapToGrid w:val="0"/>
        <w:spacing w:line="520" w:lineRule="exact"/>
        <w:ind w:firstLine="420" w:firstLineChars="200"/>
        <w:rPr>
          <w:rFonts w:hint="eastAsia" w:ascii="仿宋_GB2312" w:hAnsi="仿宋" w:eastAsia="仿宋_GB2312"/>
          <w:sz w:val="32"/>
          <w:szCs w:val="32"/>
        </w:rPr>
      </w:pPr>
      <w:r>
        <w:rPr>
          <w:rFonts w:hint="eastAsia"/>
          <w:lang w:val="en-US" w:eastAsia="zh-CN"/>
        </w:rPr>
        <w:t xml:space="preserve">     </w:t>
      </w:r>
      <w:r>
        <w:rPr>
          <w:rFonts w:hint="eastAsia" w:ascii="仿宋_GB2312" w:hAnsi="仿宋" w:eastAsia="仿宋_GB2312"/>
          <w:sz w:val="32"/>
          <w:szCs w:val="32"/>
        </w:rPr>
        <w:t>四川省人民政府科学城办事处（以下简称川府科办）为省政府派出机构，与中国工程物理研究院公共事务管理部一个机构两块牌子。负责中国工程物理研究院在川征地范围内的行政管理和行政执法工作，承办省政府交办的其他事项。</w:t>
      </w:r>
    </w:p>
    <w:p>
      <w:pPr>
        <w:pStyle w:val="4"/>
        <w:rPr>
          <w:rStyle w:val="29"/>
          <w:rFonts w:ascii="Times New Roman" w:hAnsi="Times New Roman"/>
          <w:b w:val="0"/>
          <w:bCs w:val="0"/>
          <w:color w:val="auto"/>
          <w:highlight w:val="none"/>
        </w:rPr>
      </w:pPr>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p>
    <w:p>
      <w:pPr>
        <w:ind w:firstLine="800" w:firstLineChars="250"/>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四川省人民政府科学城办事处</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rFonts w:hint="eastAsia" w:eastAsia="仿宋_GB2312" w:cs="仿宋_GB2312"/>
          <w:color w:val="auto"/>
          <w:sz w:val="32"/>
          <w:szCs w:val="32"/>
          <w:highlight w:val="none"/>
          <w:lang w:val="en-US" w:eastAsia="zh-CN"/>
        </w:rPr>
        <w:t>四川省人民政府科学城办事处</w:t>
      </w:r>
      <w:r>
        <w:rPr>
          <w:rFonts w:hint="eastAsia" w:ascii="Times New Roman"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rPr>
        <w:t>部门决算编制范围的二级预算单位包括：</w:t>
      </w:r>
    </w:p>
    <w:p>
      <w:pPr>
        <w:numPr>
          <w:numId w:val="0"/>
        </w:numPr>
        <w:ind w:firstLine="960" w:firstLineChars="3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highlight w:val="none"/>
          <w:lang w:val="en-US" w:eastAsia="zh-CN"/>
        </w:rPr>
        <w:t>1.四川省人民政府科学城办事处</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14" w:name="_Toc15396602"/>
      <w:bookmarkStart w:id="15"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2025年度</w:t>
      </w:r>
      <w:r>
        <w:rPr>
          <w:rFonts w:hint="eastAsia" w:ascii="Times New Roman" w:hAnsi="Times New Roman" w:eastAsia="方正小标宋简体" w:cs="方正小标宋简体"/>
          <w:b w:val="0"/>
          <w:color w:val="auto"/>
          <w:highlight w:val="none"/>
        </w:rPr>
        <w:t>部门决算情况说明</w:t>
      </w:r>
      <w:bookmarkEnd w:id="14"/>
      <w:bookmarkEnd w:id="15"/>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16" w:name="_Toc15396603"/>
      <w:bookmarkStart w:id="17"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16"/>
      <w:bookmarkEnd w:id="17"/>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 w:eastAsia="仿宋_GB2312"/>
          <w:sz w:val="32"/>
          <w:szCs w:val="32"/>
          <w:lang w:val="en-US" w:eastAsia="zh-CN"/>
        </w:rPr>
        <w:t>1533.26</w:t>
      </w:r>
      <w:r>
        <w:rPr>
          <w:rFonts w:hint="eastAsia" w:ascii="Times New Roman" w:hAnsi="Times New Roman" w:eastAsia="仿宋_GB2312" w:cs="仿宋_GB2312"/>
          <w:color w:val="auto"/>
          <w:sz w:val="32"/>
          <w:szCs w:val="32"/>
          <w:highlight w:val="none"/>
        </w:rPr>
        <w:t>万元。与</w:t>
      </w:r>
      <w:r>
        <w:rPr>
          <w:rFonts w:hint="eastAsia" w:eastAsia="仿宋_GB2312" w:cs="仿宋_GB2312"/>
          <w:color w:val="auto"/>
          <w:sz w:val="32"/>
          <w:szCs w:val="32"/>
          <w:highlight w:val="none"/>
          <w:lang w:eastAsia="zh-CN"/>
        </w:rPr>
        <w:t>上</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ascii="仿宋_GB2312" w:hAnsi="仿宋" w:eastAsia="仿宋_GB2312"/>
          <w:sz w:val="32"/>
          <w:szCs w:val="32"/>
          <w:lang w:val="en-US" w:eastAsia="zh-CN"/>
        </w:rPr>
        <w:t>1.64</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0.11</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年度预算增加。</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ascii="Times New Roman" w:hAnsi="Times New Roman" w:eastAsia="仿宋_GB2312" w:cs="仿宋_GB2312"/>
          <w:color w:val="auto"/>
          <w:sz w:val="32"/>
          <w:szCs w:val="32"/>
          <w:highlight w:val="none"/>
        </w:rPr>
      </w:pPr>
      <w:r>
        <w:drawing>
          <wp:anchor distT="0" distB="0" distL="114300" distR="114300" simplePos="0" relativeHeight="251659264" behindDoc="0" locked="0" layoutInCell="1" allowOverlap="1">
            <wp:simplePos x="0" y="0"/>
            <wp:positionH relativeFrom="column">
              <wp:posOffset>619760</wp:posOffset>
            </wp:positionH>
            <wp:positionV relativeFrom="paragraph">
              <wp:posOffset>140335</wp:posOffset>
            </wp:positionV>
            <wp:extent cx="3858260" cy="2578735"/>
            <wp:effectExtent l="4445" t="5080" r="15240"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8" w:name="_Toc15396604"/>
      <w:bookmarkStart w:id="19" w:name="_Toc15377206"/>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二、收入决算情况说明</w:t>
      </w:r>
      <w:bookmarkEnd w:id="18"/>
      <w:bookmarkEnd w:id="19"/>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本年收入合计</w:t>
      </w:r>
      <w:r>
        <w:rPr>
          <w:rFonts w:hint="eastAsia" w:ascii="仿宋_GB2312" w:hAnsi="仿宋" w:eastAsia="仿宋_GB2312"/>
          <w:sz w:val="32"/>
          <w:szCs w:val="32"/>
          <w:lang w:val="en-US" w:eastAsia="zh-CN"/>
        </w:rPr>
        <w:t>1533.26</w:t>
      </w:r>
      <w:r>
        <w:rPr>
          <w:rFonts w:hint="eastAsia" w:ascii="Times New Roman" w:hAnsi="Times New Roman" w:eastAsia="仿宋_GB2312" w:cs="仿宋_GB2312"/>
          <w:color w:val="auto"/>
          <w:sz w:val="32"/>
          <w:szCs w:val="32"/>
          <w:highlight w:val="none"/>
          <w:lang w:eastAsia="zh-CN"/>
        </w:rPr>
        <w:t>万元，其中：一般公共预算财政拨款收入</w:t>
      </w:r>
      <w:r>
        <w:rPr>
          <w:rFonts w:hint="eastAsia" w:ascii="仿宋_GB2312" w:hAnsi="仿宋" w:eastAsia="仿宋_GB2312"/>
          <w:sz w:val="32"/>
          <w:szCs w:val="32"/>
          <w:lang w:val="en-US" w:eastAsia="zh-CN"/>
        </w:rPr>
        <w:t>1533.26</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100</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2336" behindDoc="0" locked="0" layoutInCell="1" allowOverlap="1">
            <wp:simplePos x="0" y="0"/>
            <wp:positionH relativeFrom="column">
              <wp:posOffset>2576830</wp:posOffset>
            </wp:positionH>
            <wp:positionV relativeFrom="paragraph">
              <wp:posOffset>167640</wp:posOffset>
            </wp:positionV>
            <wp:extent cx="2750820" cy="1459230"/>
            <wp:effectExtent l="4445" t="4445" r="20320" b="1270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仿宋_GB2312" w:cs="仿宋_GB2312"/>
          <w:color w:val="auto"/>
          <w:sz w:val="32"/>
          <w:szCs w:val="32"/>
          <w:highlight w:val="none"/>
          <w:lang w:eastAsia="zh-CN"/>
        </w:rPr>
        <w:t>（图2：收入决算结构图）（饼状图）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14"/>
        <w:rPr>
          <w:rFonts w:hint="eastAsia" w:ascii="Times New Roman" w:hAnsi="Times New Roman" w:eastAsia="仿宋_GB2312" w:cs="仿宋_GB2312"/>
          <w:color w:val="auto"/>
          <w:sz w:val="32"/>
          <w:szCs w:val="32"/>
          <w:highlight w:val="none"/>
          <w:lang w:eastAsia="zh-CN"/>
        </w:rPr>
      </w:pPr>
    </w:p>
    <w:p>
      <w:pPr>
        <w:pStyle w:val="8"/>
        <w:rPr>
          <w:rFonts w:hint="eastAsia" w:ascii="Times New Roman" w:hAnsi="Times New Roman"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0" w:name="_Toc15377207"/>
      <w:bookmarkStart w:id="21"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0"/>
      <w:bookmarkEnd w:id="21"/>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本年支出合计</w:t>
      </w:r>
      <w:r>
        <w:rPr>
          <w:rFonts w:hint="eastAsia" w:ascii="仿宋_GB2312" w:hAnsi="仿宋" w:eastAsia="仿宋_GB2312"/>
          <w:sz w:val="32"/>
          <w:szCs w:val="32"/>
          <w:lang w:val="en-US" w:eastAsia="zh-CN"/>
        </w:rPr>
        <w:t>1533.26</w:t>
      </w:r>
      <w:r>
        <w:rPr>
          <w:rFonts w:hint="eastAsia" w:ascii="Times New Roman" w:hAnsi="Times New Roman" w:eastAsia="仿宋_GB2312" w:cs="仿宋_GB2312"/>
          <w:color w:val="auto"/>
          <w:sz w:val="32"/>
          <w:szCs w:val="32"/>
          <w:highlight w:val="none"/>
          <w:lang w:eastAsia="zh-CN"/>
        </w:rPr>
        <w:t>万元，其中：项目支出</w:t>
      </w:r>
      <w:r>
        <w:rPr>
          <w:rFonts w:hint="eastAsia" w:ascii="仿宋_GB2312" w:hAnsi="仿宋" w:eastAsia="仿宋_GB2312"/>
          <w:sz w:val="32"/>
          <w:szCs w:val="32"/>
          <w:lang w:val="en-US" w:eastAsia="zh-CN"/>
        </w:rPr>
        <w:t>1533.26</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100</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ind w:firstLine="525" w:firstLineChars="250"/>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7456" behindDoc="0" locked="0" layoutInCell="1" allowOverlap="1">
            <wp:simplePos x="0" y="0"/>
            <wp:positionH relativeFrom="column">
              <wp:posOffset>447040</wp:posOffset>
            </wp:positionH>
            <wp:positionV relativeFrom="paragraph">
              <wp:posOffset>226060</wp:posOffset>
            </wp:positionV>
            <wp:extent cx="3963670" cy="2390775"/>
            <wp:effectExtent l="4445" t="4445" r="8255" b="635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Fonts w:hint="eastAsia" w:ascii="Times New Roman" w:hAnsi="Times New Roman" w:eastAsia="黑体"/>
          <w:color w:val="auto"/>
          <w:sz w:val="32"/>
          <w:szCs w:val="32"/>
          <w:highlight w:val="none"/>
        </w:rPr>
      </w:pPr>
      <w:bookmarkStart w:id="22" w:name="_Toc15377208"/>
      <w:bookmarkStart w:id="23" w:name="_Toc15396606"/>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Style w:val="29"/>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2"/>
      <w:bookmarkEnd w:id="2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财政拨款收入、支出总计均为</w:t>
      </w:r>
      <w:r>
        <w:rPr>
          <w:rFonts w:hint="eastAsia" w:hAnsi="仿宋"/>
          <w:sz w:val="32"/>
          <w:szCs w:val="32"/>
          <w:lang w:val="en-US" w:eastAsia="zh-CN"/>
        </w:rPr>
        <w:t>1533.26</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年度相比，财政拨款收入、支出总计各增加</w:t>
      </w:r>
      <w:r>
        <w:rPr>
          <w:rFonts w:hint="eastAsia" w:eastAsia="仿宋_GB2312" w:cs="仿宋_GB2312"/>
          <w:color w:val="auto"/>
          <w:kern w:val="2"/>
          <w:sz w:val="32"/>
          <w:szCs w:val="32"/>
          <w:highlight w:val="none"/>
          <w:lang w:val="en-US" w:eastAsia="zh-CN" w:bidi="ar-SA"/>
        </w:rPr>
        <w:t>1.64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sz w:val="32"/>
          <w:szCs w:val="32"/>
          <w:highlight w:val="none"/>
          <w:lang w:val="en-US" w:eastAsia="zh-CN"/>
        </w:rPr>
        <w:t>0.11</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本年预算增加。</w:t>
      </w:r>
    </w:p>
    <w:p>
      <w:pPr>
        <w:spacing w:line="600" w:lineRule="exact"/>
        <w:ind w:firstLine="420" w:firstLineChars="20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76672" behindDoc="1" locked="0" layoutInCell="1" allowOverlap="1">
            <wp:simplePos x="0" y="0"/>
            <wp:positionH relativeFrom="column">
              <wp:posOffset>11430</wp:posOffset>
            </wp:positionH>
            <wp:positionV relativeFrom="paragraph">
              <wp:posOffset>399415</wp:posOffset>
            </wp:positionV>
            <wp:extent cx="5650230" cy="2197100"/>
            <wp:effectExtent l="4445" t="4445" r="14605" b="22860"/>
            <wp:wrapTight wrapText="bothSides">
              <wp:wrapPolygon>
                <wp:start x="-17" y="-44"/>
                <wp:lineTo x="-17" y="21244"/>
                <wp:lineTo x="21355" y="21244"/>
                <wp:lineTo x="21355" y="-44"/>
                <wp:lineTo x="-17" y="-44"/>
              </wp:wrapPolygon>
            </wp:wrapTight>
            <wp:docPr id="1163"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firstLineChars="200"/>
        <w:outlineLvl w:val="1"/>
        <w:rPr>
          <w:rStyle w:val="29"/>
          <w:rFonts w:ascii="Times New Roman" w:hAnsi="Times New Roman" w:eastAsia="黑体"/>
          <w:b w:val="0"/>
          <w:color w:val="auto"/>
          <w:highlight w:val="none"/>
        </w:rPr>
      </w:pPr>
      <w:bookmarkStart w:id="24" w:name="_Toc15377209"/>
      <w:bookmarkStart w:id="25"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4"/>
      <w:bookmarkEnd w:id="25"/>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6"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hAnsi="仿宋"/>
          <w:sz w:val="32"/>
          <w:szCs w:val="32"/>
          <w:lang w:val="en-US" w:eastAsia="zh-CN"/>
        </w:rPr>
        <w:t>1533.26</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年度相比，一般公共预算财政拨款支出增加</w:t>
      </w:r>
      <w:r>
        <w:rPr>
          <w:rFonts w:hint="eastAsia" w:eastAsia="仿宋_GB2312" w:cs="仿宋_GB2312"/>
          <w:color w:val="auto"/>
          <w:kern w:val="2"/>
          <w:sz w:val="32"/>
          <w:szCs w:val="32"/>
          <w:highlight w:val="none"/>
          <w:lang w:val="en-US" w:eastAsia="zh-CN" w:bidi="ar-SA"/>
        </w:rPr>
        <w:t>1.64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0.11</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本年预算增加。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pStyle w:val="14"/>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79744" behindDoc="0" locked="0" layoutInCell="1" allowOverlap="1">
            <wp:simplePos x="0" y="0"/>
            <wp:positionH relativeFrom="column">
              <wp:posOffset>280035</wp:posOffset>
            </wp:positionH>
            <wp:positionV relativeFrom="paragraph">
              <wp:posOffset>192405</wp:posOffset>
            </wp:positionV>
            <wp:extent cx="4928235" cy="1988185"/>
            <wp:effectExtent l="4445" t="4445" r="8255" b="15240"/>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7" w:name="_Toc1537721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27"/>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hAnsi="仿宋"/>
          <w:sz w:val="32"/>
          <w:szCs w:val="32"/>
          <w:lang w:val="en-US" w:eastAsia="zh-CN"/>
        </w:rPr>
        <w:t>1533.26</w:t>
      </w:r>
      <w:r>
        <w:rPr>
          <w:rFonts w:hint="eastAsia" w:ascii="Times New Roman" w:hAnsi="Times New Roman" w:eastAsia="仿宋_GB2312" w:cs="仿宋_GB2312"/>
          <w:color w:val="auto"/>
          <w:kern w:val="2"/>
          <w:sz w:val="32"/>
          <w:szCs w:val="32"/>
          <w:highlight w:val="none"/>
          <w:lang w:val="en-US" w:eastAsia="zh-CN" w:bidi="ar-SA"/>
        </w:rPr>
        <w:t>万元，主要用于以下方面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1368.26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89.24</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165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10.76</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74624" behindDoc="0" locked="0" layoutInCell="1" allowOverlap="1">
            <wp:simplePos x="0" y="0"/>
            <wp:positionH relativeFrom="column">
              <wp:posOffset>1106805</wp:posOffset>
            </wp:positionH>
            <wp:positionV relativeFrom="paragraph">
              <wp:posOffset>492760</wp:posOffset>
            </wp:positionV>
            <wp:extent cx="3336290" cy="2275840"/>
            <wp:effectExtent l="4445" t="4445" r="5715" b="22860"/>
            <wp:wrapSquare wrapText="bothSides"/>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14"/>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14"/>
        <w:rPr>
          <w:rFonts w:hint="eastAsia"/>
          <w:lang w:val="en-US" w:eastAsia="zh-CN"/>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8"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9" w:name="_Toc15377213"/>
      <w:bookmarkStart w:id="30" w:name="_Toc15377444"/>
      <w:bookmarkStart w:id="31" w:name="_Toc15378460"/>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一般公共预算支出决算数为</w:t>
      </w:r>
      <w:r>
        <w:rPr>
          <w:rFonts w:hint="eastAsia" w:hAnsi="仿宋"/>
          <w:sz w:val="32"/>
          <w:szCs w:val="32"/>
          <w:lang w:val="en-US" w:eastAsia="zh-CN"/>
        </w:rPr>
        <w:t>1533.26</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9"/>
      <w:bookmarkEnd w:id="30"/>
      <w:bookmarkEnd w:id="31"/>
    </w:p>
    <w:p>
      <w:pPr>
        <w:ind w:firstLine="709"/>
        <w:outlineLvl w:val="0"/>
        <w:rPr>
          <w:rFonts w:hint="eastAsia" w:ascii="仿宋_GB2312" w:hAnsi="仿宋" w:eastAsia="仿宋_GB2312" w:cs="仿宋"/>
          <w:color w:val="000000"/>
          <w:sz w:val="32"/>
          <w:szCs w:val="32"/>
          <w:lang w:val="en-US" w:eastAsia="zh-CN"/>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一般公共服务（类）政府办公厅（室）及相关机构事务（款）一般行政管理事务（项）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1368.26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97.73</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1</w:t>
      </w:r>
      <w:r>
        <w:rPr>
          <w:rFonts w:hint="eastAsia" w:ascii="仿宋_GB2312" w:hAnsi="仿宋" w:eastAsia="仿宋_GB2312" w:cs="仿宋"/>
          <w:color w:val="000000"/>
          <w:sz w:val="32"/>
          <w:szCs w:val="32"/>
          <w:lang w:eastAsia="zh-CN"/>
        </w:rPr>
        <w:t>）公务接待费较上年减少</w:t>
      </w:r>
      <w:r>
        <w:rPr>
          <w:rFonts w:hint="eastAsia" w:ascii="仿宋_GB2312" w:hAnsi="仿宋" w:eastAsia="仿宋_GB2312" w:cs="仿宋"/>
          <w:color w:val="000000"/>
          <w:sz w:val="32"/>
          <w:szCs w:val="32"/>
          <w:lang w:val="en-US" w:eastAsia="zh-CN"/>
        </w:rPr>
        <w:t>，主要原因是严格执行公务接待的范围、标准与审批流程，缩减非必要接待场次，更多采用线上会议代替线下接待。</w:t>
      </w:r>
    </w:p>
    <w:p>
      <w:pPr>
        <w:ind w:firstLine="709"/>
        <w:outlineLvl w:val="0"/>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（2）公务用车维护费较上年减少，主要原因是车辆使用频次降低，维保管理精细化，淘汰老旧高损耗车辆，降低故障维修频次。</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（3）网络租赁费支出减少，主要原因是优化服务套餐，统筹整合信息化网络资源，清理非必要网络租赁项目。</w:t>
      </w:r>
    </w:p>
    <w:p>
      <w:pPr>
        <w:pStyle w:val="14"/>
        <w:rPr>
          <w:rFonts w:hint="default"/>
          <w:lang w:val="en-US" w:eastAsia="zh-CN"/>
        </w:rPr>
      </w:pPr>
      <w:r>
        <w:rPr>
          <w:rFonts w:hint="eastAsia" w:eastAsia="仿宋_GB2312" w:cs="仿宋_GB2312"/>
          <w:color w:val="auto"/>
          <w:kern w:val="2"/>
          <w:sz w:val="32"/>
          <w:szCs w:val="32"/>
          <w:highlight w:val="none"/>
          <w:lang w:val="en-US" w:eastAsia="zh-CN" w:bidi="ar-SA"/>
        </w:rPr>
        <w:t xml:space="preserve">     （4）委托业务费减少，主要原因是严格落实过紧日子要求，规范委托业务采购管理，压减服务成本。</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6.卫生健康（类）公共卫生（款）其他卫生健康支出（项）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165</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tabs>
          <w:tab w:val="right" w:pos="8306"/>
        </w:tabs>
        <w:spacing w:line="600" w:lineRule="exact"/>
        <w:ind w:firstLine="640"/>
        <w:outlineLvl w:val="1"/>
        <w:rPr>
          <w:rStyle w:val="29"/>
          <w:rFonts w:ascii="Times New Roman" w:hAnsi="Times New Roman"/>
          <w:color w:val="auto"/>
          <w:highlight w:val="none"/>
        </w:rPr>
      </w:pPr>
      <w:bookmarkStart w:id="32" w:name="_Toc15377214"/>
      <w:bookmarkStart w:id="33"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2"/>
      <w:bookmarkEnd w:id="33"/>
      <w:r>
        <w:rPr>
          <w:rStyle w:val="29"/>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一般公共预算财政拨款基本支出</w:t>
      </w:r>
      <w:r>
        <w:rPr>
          <w:rFonts w:hint="eastAsia" w:hAnsi="仿宋"/>
          <w:sz w:val="32"/>
          <w:szCs w:val="32"/>
          <w:lang w:val="en-US" w:eastAsia="zh-CN"/>
        </w:rPr>
        <w:t>0.00</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w:t>
      </w:r>
    </w:p>
    <w:p>
      <w:pPr>
        <w:spacing w:line="600" w:lineRule="exact"/>
        <w:ind w:firstLine="640"/>
        <w:outlineLvl w:val="1"/>
        <w:rPr>
          <w:rStyle w:val="29"/>
          <w:rFonts w:ascii="Times New Roman" w:hAnsi="Times New Roman" w:eastAsia="黑体"/>
          <w:b w:val="0"/>
          <w:color w:val="auto"/>
          <w:highlight w:val="none"/>
        </w:rPr>
      </w:pPr>
      <w:bookmarkStart w:id="34" w:name="_Toc15396609"/>
      <w:bookmarkStart w:id="35" w:name="_Toc15377215"/>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34"/>
      <w:bookmarkEnd w:id="35"/>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6"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36"/>
    </w:p>
    <w:p>
      <w:pPr>
        <w:ind w:firstLine="709"/>
        <w:outlineLvl w:val="0"/>
        <w:rPr>
          <w:rFonts w:hint="eastAsia" w:ascii="仿宋_GB2312" w:hAnsi="仿宋" w:eastAsia="仿宋_GB2312" w:cs="仿宋"/>
          <w:color w:val="000000"/>
          <w:sz w:val="32"/>
          <w:szCs w:val="32"/>
          <w:lang w:val="en-US" w:eastAsia="zh-CN"/>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财政拨款“三公”经费支出决算为</w:t>
      </w:r>
      <w:r>
        <w:rPr>
          <w:rFonts w:hint="eastAsia" w:eastAsia="仿宋_GB2312" w:cs="仿宋_GB2312"/>
          <w:color w:val="auto"/>
          <w:kern w:val="2"/>
          <w:sz w:val="32"/>
          <w:szCs w:val="32"/>
          <w:highlight w:val="none"/>
          <w:lang w:val="en-US" w:eastAsia="zh-CN" w:bidi="ar-SA"/>
        </w:rPr>
        <w:t>84.02</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85.73</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13.76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13.97</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1</w:t>
      </w:r>
      <w:r>
        <w:rPr>
          <w:rFonts w:hint="eastAsia" w:ascii="仿宋_GB2312" w:hAnsi="仿宋" w:eastAsia="仿宋_GB2312" w:cs="仿宋"/>
          <w:color w:val="000000"/>
          <w:sz w:val="32"/>
          <w:szCs w:val="32"/>
          <w:lang w:eastAsia="zh-CN"/>
        </w:rPr>
        <w:t>）公务接待费较上年减少</w:t>
      </w:r>
      <w:r>
        <w:rPr>
          <w:rFonts w:hint="eastAsia" w:ascii="仿宋_GB2312" w:hAnsi="仿宋" w:eastAsia="仿宋_GB2312" w:cs="仿宋"/>
          <w:color w:val="000000"/>
          <w:sz w:val="32"/>
          <w:szCs w:val="32"/>
          <w:lang w:val="en-US" w:eastAsia="zh-CN"/>
        </w:rPr>
        <w:t>，主要原因是严格执行公务接待的范围、标准与审批流程，缩减非必要接待场次，更多采用线上会议代替线下接待。</w:t>
      </w:r>
    </w:p>
    <w:p>
      <w:pPr>
        <w:ind w:firstLine="709"/>
        <w:outlineLvl w:val="0"/>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（2）公务用车维护费较上年减少，主要原因是车辆使用频次降低，维保管理精细化，淘汰老旧高损耗车辆，降低故障维修频次。</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7"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3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财政拨款“三公”经费支出决算中，因公出国（境）费支出决算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eastAsia="仿宋_GB2312" w:cs="仿宋_GB2312"/>
          <w:color w:val="auto"/>
          <w:kern w:val="2"/>
          <w:sz w:val="32"/>
          <w:szCs w:val="32"/>
          <w:highlight w:val="none"/>
          <w:lang w:val="en-US" w:eastAsia="zh-CN" w:bidi="ar-SA"/>
        </w:rPr>
        <w:t>83.24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99.07</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eastAsia="仿宋_GB2312" w:cs="仿宋_GB2312"/>
          <w:color w:val="auto"/>
          <w:kern w:val="2"/>
          <w:sz w:val="32"/>
          <w:szCs w:val="32"/>
          <w:highlight w:val="none"/>
          <w:lang w:val="en-US" w:eastAsia="zh-CN" w:bidi="ar-SA"/>
        </w:rPr>
        <w:t>0.78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0.93</w:t>
      </w:r>
      <w:r>
        <w:rPr>
          <w:rFonts w:hint="eastAsia" w:ascii="Times New Roman" w:hAnsi="Times New Roman" w:eastAsia="仿宋_GB2312" w:cs="仿宋_GB2312"/>
          <w:color w:val="auto"/>
          <w:kern w:val="2"/>
          <w:sz w:val="32"/>
          <w:szCs w:val="32"/>
          <w:highlight w:val="none"/>
          <w:lang w:val="en-US" w:eastAsia="zh-CN" w:bidi="ar-SA"/>
        </w:rPr>
        <w:t>%。具体情况如下：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（图7：财政拨款“三公”经费支出结构）（饼状图）</w:t>
      </w:r>
    </w:p>
    <w:p>
      <w:pPr>
        <w:pStyle w:val="14"/>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75648" behindDoc="0" locked="0" layoutInCell="1" allowOverlap="1">
            <wp:simplePos x="0" y="0"/>
            <wp:positionH relativeFrom="column">
              <wp:posOffset>819785</wp:posOffset>
            </wp:positionH>
            <wp:positionV relativeFrom="paragraph">
              <wp:posOffset>158115</wp:posOffset>
            </wp:positionV>
            <wp:extent cx="3738245" cy="1779905"/>
            <wp:effectExtent l="4445" t="4445" r="17145" b="6985"/>
            <wp:wrapSquare wrapText="bothSides"/>
            <wp:docPr id="1165"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pStyle w:val="8"/>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14"/>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lang w:val="en-US" w:eastAsia="zh-CN"/>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0.00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0.00</w:t>
      </w:r>
      <w:r>
        <w:rPr>
          <w:rFonts w:hint="eastAsia" w:ascii="Times New Roman" w:hAnsi="Times New Roman" w:eastAsia="仿宋_GB2312" w:cs="仿宋_GB2312"/>
          <w:b/>
          <w:bCs/>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eastAsia="仿宋_GB2312" w:cs="仿宋_GB2312"/>
          <w:b/>
          <w:bCs/>
          <w:color w:val="auto"/>
          <w:kern w:val="2"/>
          <w:sz w:val="32"/>
          <w:szCs w:val="32"/>
          <w:highlight w:val="none"/>
          <w:lang w:val="en-US" w:eastAsia="zh-CN" w:bidi="ar-SA"/>
        </w:rPr>
        <w:t>83.24</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99.07</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w:t>
      </w:r>
      <w:r>
        <w:rPr>
          <w:rFonts w:hint="eastAsia" w:ascii="Times New Roman" w:hAnsi="Times New Roman" w:eastAsia="仿宋_GB2312" w:cs="仿宋_GB2312"/>
          <w:color w:val="auto"/>
          <w:kern w:val="2"/>
          <w:sz w:val="32"/>
          <w:szCs w:val="32"/>
          <w:highlight w:val="none"/>
          <w:lang w:val="en-US" w:eastAsia="zh-CN" w:bidi="ar-SA"/>
        </w:rPr>
        <w:t>单位共有公务用车</w:t>
      </w:r>
      <w:r>
        <w:rPr>
          <w:rFonts w:hint="eastAsia" w:eastAsia="仿宋_GB2312" w:cs="仿宋_GB2312"/>
          <w:color w:val="auto"/>
          <w:kern w:val="2"/>
          <w:sz w:val="32"/>
          <w:szCs w:val="32"/>
          <w:highlight w:val="none"/>
          <w:lang w:val="en-US" w:eastAsia="zh-CN" w:bidi="ar-SA"/>
        </w:rPr>
        <w:t>44</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26</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w:t>
      </w:r>
    </w:p>
    <w:p>
      <w:pPr>
        <w:snapToGrid w:val="0"/>
        <w:spacing w:line="560" w:lineRule="exact"/>
        <w:ind w:firstLine="640" w:firstLineChars="200"/>
        <w:rPr>
          <w:rFonts w:hint="eastAsia"/>
          <w:lang w:val="en-US" w:eastAsia="zh-CN"/>
        </w:rPr>
      </w:pPr>
      <w:r>
        <w:rPr>
          <w:rFonts w:hint="eastAsia" w:ascii="仿宋_GB2312" w:hAnsi="仿宋" w:eastAsia="仿宋_GB2312"/>
          <w:sz w:val="32"/>
          <w:szCs w:val="32"/>
        </w:rPr>
        <w:t>公务用车购置方面，均未使用省拨资金购置车辆。公务用车保有量为</w:t>
      </w:r>
      <w:r>
        <w:rPr>
          <w:rFonts w:hint="eastAsia" w:ascii="仿宋_GB2312" w:hAnsi="仿宋" w:eastAsia="仿宋_GB2312"/>
          <w:sz w:val="32"/>
          <w:szCs w:val="32"/>
          <w:lang w:val="en-US" w:eastAsia="zh-CN"/>
        </w:rPr>
        <w:t>4</w:t>
      </w:r>
      <w:r>
        <w:rPr>
          <w:rFonts w:hint="eastAsia" w:ascii="仿宋_GB2312" w:hAnsi="仿宋" w:eastAsia="仿宋_GB2312"/>
          <w:sz w:val="32"/>
          <w:szCs w:val="32"/>
        </w:rPr>
        <w:t>4辆，因已在财政部报备资产信息，不重复</w:t>
      </w:r>
      <w:r>
        <w:rPr>
          <w:rFonts w:hint="eastAsia" w:ascii="仿宋_GB2312" w:hAnsi="仿宋" w:eastAsia="仿宋_GB2312"/>
          <w:sz w:val="32"/>
          <w:szCs w:val="32"/>
          <w:lang w:eastAsia="zh-CN"/>
        </w:rPr>
        <w:t>报送。</w:t>
      </w:r>
    </w:p>
    <w:p>
      <w:pPr>
        <w:spacing w:line="600" w:lineRule="exact"/>
        <w:ind w:firstLine="640"/>
        <w:rPr>
          <w:rFonts w:hint="eastAsia" w:ascii="仿宋_GB2312" w:hAnsi="仿宋" w:eastAsia="仿宋_GB2312"/>
          <w:bCs/>
          <w:sz w:val="32"/>
          <w:szCs w:val="32"/>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eastAsia="仿宋_GB2312" w:cs="仿宋_GB2312"/>
          <w:color w:val="auto"/>
          <w:kern w:val="2"/>
          <w:sz w:val="32"/>
          <w:szCs w:val="32"/>
          <w:highlight w:val="none"/>
          <w:lang w:val="en-US" w:eastAsia="zh-CN" w:bidi="ar-SA"/>
        </w:rPr>
        <w:t>83.24</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hAnsi="仿宋" w:eastAsia="仿宋_GB2312"/>
          <w:bCs/>
          <w:sz w:val="32"/>
          <w:szCs w:val="32"/>
        </w:rPr>
        <w:t>用于2</w:t>
      </w:r>
      <w:r>
        <w:rPr>
          <w:rFonts w:hint="eastAsia" w:ascii="仿宋_GB2312" w:hAnsi="仿宋" w:eastAsia="仿宋_GB2312"/>
          <w:bCs/>
          <w:sz w:val="32"/>
          <w:szCs w:val="32"/>
          <w:lang w:val="en-US" w:eastAsia="zh-CN"/>
        </w:rPr>
        <w:t>2</w:t>
      </w:r>
      <w:r>
        <w:rPr>
          <w:rFonts w:hint="eastAsia" w:ascii="仿宋_GB2312" w:hAnsi="仿宋" w:eastAsia="仿宋_GB2312"/>
          <w:bCs/>
          <w:sz w:val="32"/>
          <w:szCs w:val="32"/>
        </w:rPr>
        <w:t>个职能局（委、办）部门公务用车的机要文件传递、参加省市会议、对接扶贫工作、武装押运等工作所需燃料费、维修费、保险费等支出，以及车辆租赁等相关费用。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eastAsia="仿宋_GB2312" w:cs="仿宋_GB2312"/>
          <w:b/>
          <w:bCs/>
          <w:color w:val="auto"/>
          <w:kern w:val="2"/>
          <w:sz w:val="32"/>
          <w:szCs w:val="32"/>
          <w:highlight w:val="none"/>
          <w:lang w:val="en-US" w:eastAsia="zh-CN" w:bidi="ar-SA"/>
        </w:rPr>
        <w:t>0.78</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0.93</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eastAsia="仿宋_GB2312" w:cs="仿宋_GB2312"/>
          <w:color w:val="auto"/>
          <w:kern w:val="2"/>
          <w:sz w:val="32"/>
          <w:szCs w:val="32"/>
          <w:highlight w:val="none"/>
          <w:lang w:val="en-US" w:eastAsia="zh-CN" w:bidi="ar-SA"/>
        </w:rPr>
        <w:t>0.70</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47.30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 w:eastAsia="仿宋_GB2312" w:cs="仿宋"/>
          <w:color w:val="000000"/>
          <w:sz w:val="32"/>
          <w:szCs w:val="32"/>
          <w:lang w:eastAsia="zh-CN"/>
        </w:rPr>
        <w:t>公务接待费较上年减少</w:t>
      </w:r>
      <w:r>
        <w:rPr>
          <w:rFonts w:hint="eastAsia" w:ascii="仿宋_GB2312" w:hAnsi="仿宋" w:eastAsia="仿宋_GB2312" w:cs="仿宋"/>
          <w:color w:val="000000"/>
          <w:sz w:val="32"/>
          <w:szCs w:val="32"/>
          <w:lang w:val="en-US" w:eastAsia="zh-CN"/>
        </w:rPr>
        <w:t>，主要原因是严格执行公务接待的范围、标准与审批流程，缩减非必要接待场次，更多采用线上会议代替线下接待</w:t>
      </w:r>
      <w:r>
        <w:rPr>
          <w:rFonts w:hint="eastAsia" w:ascii="Times New Roman" w:hAnsi="Times New Roman" w:eastAsia="仿宋_GB2312" w:cs="仿宋_GB2312"/>
          <w:color w:val="auto"/>
          <w:kern w:val="2"/>
          <w:sz w:val="32"/>
          <w:szCs w:val="32"/>
          <w:highlight w:val="none"/>
          <w:lang w:val="en-US" w:eastAsia="zh-CN" w:bidi="ar-SA"/>
        </w:rPr>
        <w:t>。其中：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eastAsia="仿宋_GB2312" w:cs="仿宋_GB2312"/>
          <w:color w:val="auto"/>
          <w:kern w:val="2"/>
          <w:sz w:val="32"/>
          <w:szCs w:val="32"/>
          <w:highlight w:val="none"/>
          <w:lang w:val="en-US" w:eastAsia="zh-CN" w:bidi="ar-SA"/>
        </w:rPr>
        <w:t>0.78</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hAnsi="仿宋" w:eastAsia="仿宋_GB2312"/>
          <w:bCs/>
          <w:sz w:val="32"/>
          <w:szCs w:val="32"/>
        </w:rPr>
        <w:t>接待各职能部门、协作企业、社会团体用餐、交通等费用</w:t>
      </w:r>
      <w:r>
        <w:rPr>
          <w:rFonts w:hint="eastAsia" w:ascii="Times New Roman" w:hAnsi="Times New Roman" w:eastAsia="仿宋_GB2312" w:cs="仿宋_GB2312"/>
          <w:color w:val="auto"/>
          <w:kern w:val="2"/>
          <w:sz w:val="32"/>
          <w:szCs w:val="32"/>
          <w:highlight w:val="none"/>
          <w:lang w:val="en-US" w:eastAsia="zh-CN" w:bidi="ar-SA"/>
        </w:rPr>
        <w:t>。国内公务接待</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eastAsia="仿宋_GB2312" w:cs="仿宋_GB2312"/>
          <w:color w:val="auto"/>
          <w:kern w:val="2"/>
          <w:sz w:val="32"/>
          <w:szCs w:val="32"/>
          <w:highlight w:val="none"/>
          <w:lang w:val="en-US" w:eastAsia="zh-CN" w:bidi="ar-SA"/>
        </w:rPr>
        <w:t>42</w:t>
      </w:r>
      <w:r>
        <w:rPr>
          <w:rFonts w:hint="eastAsia" w:ascii="Times New Roman" w:hAnsi="Times New Roman" w:eastAsia="仿宋_GB2312" w:cs="仿宋_GB2312"/>
          <w:color w:val="auto"/>
          <w:kern w:val="2"/>
          <w:sz w:val="32"/>
          <w:szCs w:val="32"/>
          <w:highlight w:val="none"/>
          <w:lang w:val="en-US" w:eastAsia="zh-CN" w:bidi="ar-SA"/>
        </w:rPr>
        <w:t>人次（不包括陪同人员）。</w:t>
      </w:r>
      <w:r>
        <w:rPr>
          <w:rFonts w:hint="eastAsia" w:ascii="Times New Roman" w:hAnsi="Times New Roman" w:eastAsia="仿宋_GB2312" w:cs="仿宋_GB2312"/>
          <w:color w:val="auto"/>
          <w:kern w:val="2"/>
          <w:sz w:val="32"/>
          <w:szCs w:val="32"/>
          <w:highlight w:val="none"/>
          <w:lang w:val="en-US" w:eastAsia="zh-CN" w:bidi="ar-SA"/>
        </w:rPr>
        <w:t>共计支出</w:t>
      </w:r>
      <w:r>
        <w:rPr>
          <w:rFonts w:hint="eastAsia" w:eastAsia="仿宋_GB2312" w:cs="仿宋_GB2312"/>
          <w:color w:val="auto"/>
          <w:kern w:val="2"/>
          <w:sz w:val="32"/>
          <w:szCs w:val="32"/>
          <w:highlight w:val="none"/>
          <w:lang w:val="en-US" w:eastAsia="zh-CN" w:bidi="ar-SA"/>
        </w:rPr>
        <w:t>0.78</w:t>
      </w:r>
      <w:r>
        <w:rPr>
          <w:rFonts w:hint="eastAsia" w:ascii="Times New Roman" w:hAnsi="Times New Roman" w:eastAsia="仿宋_GB2312" w:cs="仿宋_GB2312"/>
          <w:color w:val="auto"/>
          <w:kern w:val="2"/>
          <w:sz w:val="32"/>
          <w:szCs w:val="32"/>
          <w:highlight w:val="none"/>
          <w:lang w:val="en-US" w:eastAsia="zh-CN" w:bidi="ar-SA"/>
        </w:rPr>
        <w:t>万元。</w:t>
      </w:r>
    </w:p>
    <w:p>
      <w:pPr>
        <w:spacing w:line="600" w:lineRule="exact"/>
        <w:ind w:firstLine="640"/>
        <w:outlineLvl w:val="1"/>
        <w:rPr>
          <w:rStyle w:val="29"/>
          <w:rFonts w:ascii="Times New Roman" w:hAnsi="Times New Roman" w:eastAsia="黑体"/>
          <w:color w:val="auto"/>
          <w:highlight w:val="none"/>
        </w:rPr>
      </w:pPr>
      <w:bookmarkStart w:id="38" w:name="_Toc15377218"/>
      <w:bookmarkStart w:id="39" w:name="_Toc15396610"/>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38"/>
      <w:bookmarkEnd w:id="3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无</w:t>
      </w:r>
    </w:p>
    <w:p>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40" w:name="_Toc15377219"/>
      <w:bookmarkStart w:id="41" w:name="_Toc15396611"/>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0"/>
      <w:bookmarkEnd w:id="41"/>
    </w:p>
    <w:p>
      <w:pPr>
        <w:numPr>
          <w:ilvl w:val="0"/>
          <w:numId w:val="0"/>
        </w:numPr>
        <w:spacing w:line="600" w:lineRule="exact"/>
        <w:ind w:left="630" w:leftChars="0"/>
        <w:outlineLvl w:val="1"/>
        <w:rPr>
          <w:rFonts w:hint="eastAsia" w:eastAsia="仿宋_GB2312" w:cs="仿宋_GB2312"/>
          <w:color w:val="auto"/>
          <w:kern w:val="2"/>
          <w:sz w:val="32"/>
          <w:szCs w:val="32"/>
          <w:highlight w:val="none"/>
          <w:lang w:val="en-US" w:eastAsia="zh-CN" w:bidi="ar-SA"/>
        </w:rPr>
      </w:pPr>
      <w:bookmarkStart w:id="42" w:name="_Toc15396612"/>
      <w:bookmarkStart w:id="43" w:name="_Toc15377221"/>
      <w:r>
        <w:rPr>
          <w:rFonts w:hint="eastAsia" w:eastAsia="仿宋_GB2312" w:cs="仿宋_GB2312"/>
          <w:color w:val="auto"/>
          <w:kern w:val="2"/>
          <w:sz w:val="32"/>
          <w:szCs w:val="32"/>
          <w:highlight w:val="none"/>
          <w:lang w:val="en-US" w:eastAsia="zh-CN" w:bidi="ar-SA"/>
        </w:rPr>
        <w:t>无</w:t>
      </w:r>
    </w:p>
    <w:p>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42"/>
      <w:bookmarkEnd w:id="4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4" w:name="_Toc15377222"/>
      <w:r>
        <w:rPr>
          <w:rFonts w:hint="eastAsia" w:ascii="Times New Roman" w:hAnsi="Times New Roman" w:eastAsia="楷体_GB2312" w:cs="楷体_GB2312"/>
          <w:b/>
          <w:color w:val="auto"/>
          <w:sz w:val="32"/>
          <w:szCs w:val="32"/>
          <w:highlight w:val="none"/>
        </w:rPr>
        <w:t>（一）机关运行经费支出情况</w:t>
      </w:r>
      <w:bookmarkEnd w:id="44"/>
    </w:p>
    <w:p>
      <w:pPr>
        <w:spacing w:line="600" w:lineRule="exact"/>
        <w:ind w:firstLine="640" w:firstLineChars="200"/>
        <w:outlineLvl w:val="2"/>
        <w:rPr>
          <w:rFonts w:hint="eastAsia" w:eastAsia="仿宋_GB2312" w:cs="仿宋_GB2312"/>
          <w:color w:val="auto"/>
          <w:kern w:val="2"/>
          <w:sz w:val="32"/>
          <w:szCs w:val="32"/>
          <w:highlight w:val="none"/>
          <w:lang w:val="en-US" w:eastAsia="zh-CN" w:bidi="ar-SA"/>
        </w:rPr>
      </w:pPr>
      <w:bookmarkStart w:id="45" w:name="_Toc15377223"/>
      <w:r>
        <w:rPr>
          <w:rFonts w:hint="eastAsia" w:eastAsia="仿宋_GB2312" w:cs="仿宋_GB2312"/>
          <w:color w:val="auto"/>
          <w:kern w:val="2"/>
          <w:sz w:val="32"/>
          <w:szCs w:val="32"/>
          <w:highlight w:val="none"/>
          <w:lang w:val="en-US" w:eastAsia="zh-CN" w:bidi="ar-SA"/>
        </w:rPr>
        <w:t>无</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bookmarkEnd w:id="4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四川省人民政府科学城办事处</w:t>
      </w:r>
      <w:r>
        <w:rPr>
          <w:rFonts w:hint="eastAsia" w:ascii="Times New Roman" w:hAnsi="Times New Roman" w:eastAsia="仿宋_GB2312" w:cs="仿宋_GB2312"/>
          <w:color w:val="auto"/>
          <w:kern w:val="2"/>
          <w:sz w:val="32"/>
          <w:szCs w:val="32"/>
          <w:highlight w:val="none"/>
          <w:lang w:val="en-US" w:eastAsia="zh-CN" w:bidi="ar-SA"/>
        </w:rPr>
        <w:t>政府采购支出总额</w:t>
      </w:r>
      <w:r>
        <w:rPr>
          <w:rFonts w:hint="eastAsia" w:eastAsia="仿宋_GB2312" w:cs="仿宋_GB2312"/>
          <w:color w:val="auto"/>
          <w:kern w:val="2"/>
          <w:sz w:val="32"/>
          <w:szCs w:val="32"/>
          <w:highlight w:val="none"/>
          <w:lang w:val="en-US" w:eastAsia="zh-CN" w:bidi="ar-SA"/>
        </w:rPr>
        <w:t>327.48</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万元、政府采购工程支出</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万元、政府采购服务支出</w:t>
      </w:r>
      <w:r>
        <w:rPr>
          <w:rFonts w:hint="eastAsia" w:eastAsia="仿宋_GB2312" w:cs="仿宋_GB2312"/>
          <w:color w:val="auto"/>
          <w:kern w:val="2"/>
          <w:sz w:val="32"/>
          <w:szCs w:val="32"/>
          <w:highlight w:val="none"/>
          <w:lang w:val="en-US" w:eastAsia="zh-CN" w:bidi="ar-SA"/>
        </w:rPr>
        <w:t>327.48</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w:t>
      </w:r>
      <w:r>
        <w:rPr>
          <w:rFonts w:hint="eastAsia" w:eastAsia="仿宋_GB2312" w:cs="仿宋_GB2312"/>
          <w:color w:val="auto"/>
          <w:kern w:val="2"/>
          <w:sz w:val="32"/>
          <w:szCs w:val="32"/>
          <w:highlight w:val="none"/>
          <w:lang w:val="en-US" w:eastAsia="zh-CN" w:bidi="ar-SA"/>
        </w:rPr>
        <w:t>公务用车维护费、网络租赁费等</w:t>
      </w:r>
      <w:r>
        <w:rPr>
          <w:rFonts w:hint="eastAsia" w:ascii="Times New Roman" w:hAnsi="Times New Roman" w:eastAsia="仿宋_GB2312" w:cs="仿宋_GB2312"/>
          <w:color w:val="auto"/>
          <w:kern w:val="2"/>
          <w:sz w:val="32"/>
          <w:szCs w:val="32"/>
          <w:highlight w:val="none"/>
          <w:lang w:val="en-US" w:eastAsia="zh-CN" w:bidi="ar-SA"/>
        </w:rPr>
        <w:t>。授予中小企业合同金额</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%，其中：授予小微企业合同金额</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6" w:name="_Toc15377224"/>
      <w:r>
        <w:rPr>
          <w:rFonts w:hint="eastAsia" w:ascii="Times New Roman" w:hAnsi="Times New Roman" w:eastAsia="楷体_GB2312" w:cs="楷体_GB2312"/>
          <w:b/>
          <w:color w:val="auto"/>
          <w:sz w:val="32"/>
          <w:szCs w:val="32"/>
          <w:highlight w:val="none"/>
        </w:rPr>
        <w:t>（三）国有资产占有使用情况</w:t>
      </w:r>
      <w:bookmarkEnd w:id="4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w:t>
      </w:r>
      <w:r>
        <w:rPr>
          <w:rFonts w:hint="eastAsia" w:eastAsia="仿宋_GB2312" w:cs="仿宋_GB2312"/>
          <w:color w:val="auto"/>
          <w:kern w:val="2"/>
          <w:sz w:val="32"/>
          <w:szCs w:val="32"/>
          <w:highlight w:val="none"/>
          <w:lang w:val="en-US" w:eastAsia="zh-CN" w:bidi="ar-SA"/>
        </w:rPr>
        <w:t>四川省人民政府科学城办事处</w:t>
      </w:r>
      <w:r>
        <w:rPr>
          <w:rFonts w:hint="eastAsia" w:ascii="Times New Roman" w:hAnsi="Times New Roman" w:eastAsia="仿宋_GB2312" w:cs="仿宋_GB2312"/>
          <w:color w:val="auto"/>
          <w:kern w:val="2"/>
          <w:sz w:val="32"/>
          <w:szCs w:val="32"/>
          <w:highlight w:val="none"/>
          <w:lang w:val="en-US" w:eastAsia="zh-CN" w:bidi="ar-SA"/>
        </w:rPr>
        <w:t>共有车辆</w:t>
      </w:r>
      <w:r>
        <w:rPr>
          <w:rFonts w:hint="eastAsia" w:eastAsia="仿宋_GB2312" w:cs="仿宋_GB2312"/>
          <w:color w:val="auto"/>
          <w:kern w:val="2"/>
          <w:sz w:val="32"/>
          <w:szCs w:val="32"/>
          <w:highlight w:val="none"/>
          <w:lang w:val="en-US" w:eastAsia="zh-CN" w:bidi="ar-SA"/>
        </w:rPr>
        <w:t>44</w:t>
      </w:r>
      <w:r>
        <w:rPr>
          <w:rFonts w:hint="eastAsia" w:ascii="Times New Roman" w:hAnsi="Times New Roman" w:eastAsia="仿宋_GB2312" w:cs="仿宋_GB2312"/>
          <w:color w:val="auto"/>
          <w:kern w:val="2"/>
          <w:sz w:val="32"/>
          <w:szCs w:val="32"/>
          <w:highlight w:val="none"/>
          <w:lang w:val="en-US" w:eastAsia="zh-CN" w:bidi="ar-SA"/>
        </w:rPr>
        <w:t>辆，其中：应急保障用车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执法执勤用车25</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、特种专业技术用车17辆</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单价100万元</w:t>
      </w:r>
      <w:r>
        <w:rPr>
          <w:rFonts w:hint="eastAsia" w:eastAsia="仿宋_GB2312" w:cs="仿宋_GB2312"/>
          <w:color w:val="auto"/>
          <w:kern w:val="2"/>
          <w:sz w:val="32"/>
          <w:szCs w:val="32"/>
          <w:highlight w:val="none"/>
          <w:lang w:val="en-US" w:eastAsia="zh-CN" w:bidi="ar-SA"/>
        </w:rPr>
        <w:t>（含）</w:t>
      </w:r>
      <w:r>
        <w:rPr>
          <w:rFonts w:hint="eastAsia" w:ascii="Times New Roman" w:hAnsi="Times New Roman" w:eastAsia="仿宋_GB2312" w:cs="仿宋_GB2312"/>
          <w:color w:val="auto"/>
          <w:kern w:val="2"/>
          <w:sz w:val="32"/>
          <w:szCs w:val="32"/>
          <w:highlight w:val="none"/>
          <w:lang w:val="en-US" w:eastAsia="zh-CN" w:bidi="ar-SA"/>
        </w:rPr>
        <w:t>以上设备（不含车辆）</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台（套）。</w:t>
      </w:r>
    </w:p>
    <w:p>
      <w:pPr>
        <w:tabs>
          <w:tab w:val="left" w:pos="1295"/>
        </w:tabs>
        <w:spacing w:line="600" w:lineRule="exact"/>
        <w:ind w:firstLine="640"/>
        <w:rPr>
          <w:rFonts w:hint="eastAsia" w:ascii="Times New Roman" w:hAnsi="Times New Roman" w:eastAsia="楷体_GB2312" w:cs="楷体_GB2312"/>
          <w:b/>
          <w:color w:val="auto"/>
          <w:sz w:val="32"/>
          <w:szCs w:val="32"/>
          <w:highlight w:val="none"/>
        </w:rPr>
      </w:pPr>
      <w:r>
        <w:rPr>
          <w:rFonts w:hint="eastAsia" w:eastAsia="仿宋_GB2312" w:cs="仿宋_GB2312"/>
          <w:color w:val="auto"/>
          <w:kern w:val="2"/>
          <w:sz w:val="32"/>
          <w:szCs w:val="32"/>
          <w:highlight w:val="none"/>
          <w:lang w:val="en-US" w:eastAsia="zh-CN" w:bidi="ar-SA"/>
        </w:rPr>
        <w:tab/>
      </w: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四川省人民政府科学城办事处</w:t>
      </w:r>
      <w:r>
        <w:rPr>
          <w:rFonts w:hint="eastAsia" w:ascii="Times New Roman" w:hAnsi="Times New Roman" w:eastAsia="仿宋_GB2312" w:cs="仿宋_GB2312"/>
          <w:color w:val="auto"/>
          <w:kern w:val="2"/>
          <w:sz w:val="32"/>
          <w:szCs w:val="32"/>
          <w:highlight w:val="none"/>
          <w:lang w:val="en-US" w:eastAsia="zh-CN" w:bidi="ar-SA"/>
        </w:rPr>
        <w:t>在2025年度，组织对</w:t>
      </w:r>
      <w:r>
        <w:rPr>
          <w:rFonts w:hint="eastAsia" w:eastAsia="仿宋_GB2312" w:cs="仿宋_GB2312"/>
          <w:color w:val="auto"/>
          <w:kern w:val="2"/>
          <w:sz w:val="32"/>
          <w:szCs w:val="32"/>
          <w:highlight w:val="none"/>
          <w:lang w:val="en-US" w:eastAsia="zh-CN" w:bidi="ar-SA"/>
        </w:rPr>
        <w:t>综合业务经费保障</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个项目涉及金额</w:t>
      </w:r>
      <w:r>
        <w:rPr>
          <w:rFonts w:hint="eastAsia" w:eastAsia="仿宋_GB2312" w:cs="仿宋_GB2312"/>
          <w:color w:val="auto"/>
          <w:kern w:val="2"/>
          <w:sz w:val="32"/>
          <w:szCs w:val="32"/>
          <w:highlight w:val="none"/>
          <w:lang w:val="en-US" w:eastAsia="zh-CN" w:bidi="ar-SA"/>
        </w:rPr>
        <w:t>1565</w:t>
      </w:r>
      <w:r>
        <w:rPr>
          <w:rFonts w:hint="eastAsia" w:ascii="Times New Roman" w:hAnsi="Times New Roman" w:eastAsia="仿宋_GB2312" w:cs="仿宋_GB2312"/>
          <w:color w:val="auto"/>
          <w:kern w:val="2"/>
          <w:sz w:val="32"/>
          <w:szCs w:val="32"/>
          <w:highlight w:val="none"/>
          <w:lang w:val="en-US" w:eastAsia="zh-CN" w:bidi="ar-SA"/>
        </w:rPr>
        <w:t>万元开展了事前绩效评估，对</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7" w:name="_Toc15377225"/>
      <w:bookmarkStart w:id="48"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7"/>
      <w:bookmarkEnd w:id="48"/>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.一般公共服务（类）</w:t>
      </w:r>
      <w:r>
        <w:rPr>
          <w:rFonts w:hint="eastAsia" w:eastAsia="仿宋_GB2312" w:cs="仿宋_GB2312"/>
          <w:color w:val="auto"/>
          <w:kern w:val="2"/>
          <w:sz w:val="32"/>
          <w:szCs w:val="32"/>
          <w:highlight w:val="none"/>
          <w:lang w:val="en-US" w:eastAsia="zh-CN" w:bidi="ar-SA"/>
        </w:rPr>
        <w:t>一般行政管理事务</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单位运转项目</w:t>
      </w:r>
      <w:r>
        <w:rPr>
          <w:rFonts w:hint="eastAsia" w:ascii="Times New Roman" w:hAnsi="Times New Roman" w:eastAsia="仿宋_GB2312" w:cs="仿宋_GB2312"/>
          <w:color w:val="auto"/>
          <w:kern w:val="2"/>
          <w:sz w:val="32"/>
          <w:szCs w:val="32"/>
          <w:highlight w:val="none"/>
          <w:lang w:val="en-US" w:eastAsia="zh-CN" w:bidi="ar-SA"/>
        </w:rPr>
        <w:t>（项）：指</w:t>
      </w:r>
      <w:r>
        <w:rPr>
          <w:rFonts w:hint="eastAsia" w:eastAsia="仿宋_GB2312" w:cs="仿宋_GB2312"/>
          <w:color w:val="auto"/>
          <w:kern w:val="2"/>
          <w:sz w:val="32"/>
          <w:szCs w:val="32"/>
          <w:highlight w:val="none"/>
          <w:lang w:val="en-US" w:eastAsia="zh-CN" w:bidi="ar-SA"/>
        </w:rPr>
        <w:t>未单独设置项级科目的其他项目支出。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.卫生健康（类）</w:t>
      </w:r>
      <w:r>
        <w:rPr>
          <w:rFonts w:hint="eastAsia" w:eastAsia="仿宋_GB2312" w:cs="仿宋_GB2312"/>
          <w:color w:val="auto"/>
          <w:kern w:val="2"/>
          <w:sz w:val="32"/>
          <w:szCs w:val="32"/>
          <w:highlight w:val="none"/>
          <w:lang w:val="en-US" w:eastAsia="zh-CN" w:bidi="ar-SA"/>
        </w:rPr>
        <w:t>其他卫生健康支出</w:t>
      </w:r>
      <w:r>
        <w:rPr>
          <w:rFonts w:hint="eastAsia" w:ascii="Times New Roman" w:hAnsi="Times New Roman" w:eastAsia="仿宋_GB2312" w:cs="仿宋_GB2312"/>
          <w:color w:val="auto"/>
          <w:kern w:val="2"/>
          <w:sz w:val="32"/>
          <w:szCs w:val="32"/>
          <w:highlight w:val="none"/>
          <w:lang w:val="en-US" w:eastAsia="zh-CN" w:bidi="ar-SA"/>
        </w:rPr>
        <w:t>（款）重大公共卫生服务（项）：指</w:t>
      </w:r>
      <w:r>
        <w:rPr>
          <w:rFonts w:hint="eastAsia" w:eastAsia="仿宋_GB2312" w:cs="仿宋_GB2312"/>
          <w:color w:val="auto"/>
          <w:kern w:val="2"/>
          <w:sz w:val="32"/>
          <w:szCs w:val="32"/>
          <w:highlight w:val="none"/>
          <w:lang w:val="en-US" w:eastAsia="zh-CN" w:bidi="ar-SA"/>
        </w:rPr>
        <w:t>重大疾病、重大传染病预防控制等重大公共卫生服务项目支出。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公务用车购置及运行费和公务接待费。其中，公务用车购置及运行费反映单位公务用车车辆购置支出（含车辆购置税）及租用费、燃料费、维修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jc w:val="center"/>
        <w:rPr>
          <w:rStyle w:val="28"/>
          <w:rFonts w:hint="eastAsia" w:ascii="Times New Roman" w:hAnsi="Times New Roman" w:eastAsia="黑体"/>
          <w:b w:val="0"/>
          <w:color w:val="auto"/>
          <w:highlight w:val="none"/>
          <w:lang w:eastAsia="zh-CN"/>
        </w:rPr>
      </w:pPr>
      <w:bookmarkStart w:id="49"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0"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0"/>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widowControl/>
        <w:spacing w:line="560" w:lineRule="exact"/>
        <w:contextualSpacing/>
        <w:jc w:val="center"/>
        <w:rPr>
          <w:rFonts w:hint="eastAsia"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四川省人民政府科学城办事处</w:t>
      </w:r>
    </w:p>
    <w:p>
      <w:pPr>
        <w:widowControl/>
        <w:spacing w:line="560" w:lineRule="exact"/>
        <w:contextualSpacing/>
        <w:jc w:val="center"/>
        <w:rPr>
          <w:rFonts w:ascii="方正小标宋简体" w:hAnsi="方正小标宋简体" w:eastAsia="方正小标宋简体" w:cs="方正小标宋简体"/>
          <w:color w:val="000000"/>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2025年省级部门预算绩效自评报告</w:t>
      </w:r>
    </w:p>
    <w:p>
      <w:pPr>
        <w:widowControl/>
        <w:snapToGrid w:val="0"/>
        <w:spacing w:line="560" w:lineRule="exact"/>
        <w:ind w:firstLine="640" w:firstLineChars="200"/>
        <w:contextualSpacing/>
        <w:jc w:val="left"/>
        <w:rPr>
          <w:rFonts w:ascii="Times New Roman" w:hAnsi="Times New Roman" w:eastAsia="黑体" w:cs="Times New Roman"/>
          <w:color w:val="000000"/>
          <w:sz w:val="32"/>
          <w:szCs w:val="32"/>
          <w:shd w:val="clear" w:color="auto" w:fill="FFFFFF"/>
          <w:lang w:val="zh-CN"/>
        </w:rPr>
      </w:pPr>
    </w:p>
    <w:p>
      <w:pPr>
        <w:widowControl/>
        <w:snapToGrid w:val="0"/>
        <w:spacing w:line="560" w:lineRule="exact"/>
        <w:ind w:firstLine="640" w:firstLineChars="200"/>
        <w:contextualSpacing/>
        <w:rPr>
          <w:rFonts w:hint="eastAsia" w:ascii="CESI黑体-GB2312" w:hAnsi="CESI黑体-GB2312" w:eastAsia="CESI黑体-GB2312" w:cs="CESI黑体-GB2312"/>
          <w:sz w:val="32"/>
          <w:szCs w:val="32"/>
        </w:rPr>
      </w:pPr>
      <w:r>
        <w:rPr>
          <w:rFonts w:hint="eastAsia" w:ascii="CESI黑体-GB2312" w:hAnsi="CESI黑体-GB2312" w:eastAsia="CESI黑体-GB2312" w:cs="CESI黑体-GB2312"/>
          <w:color w:val="000000"/>
          <w:sz w:val="32"/>
          <w:szCs w:val="32"/>
          <w:shd w:val="clear" w:color="auto" w:fill="FFFFFF"/>
          <w:lang w:val="zh-CN"/>
        </w:rPr>
        <w:t>一、部门（单位）基本情况</w:t>
      </w:r>
    </w:p>
    <w:p>
      <w:pPr>
        <w:widowControl/>
        <w:snapToGrid w:val="0"/>
        <w:spacing w:line="560" w:lineRule="exact"/>
        <w:ind w:firstLine="617" w:firstLineChars="193"/>
        <w:rPr>
          <w:rFonts w:hint="eastAsia" w:ascii="仿宋_GB2312" w:hAnsi="仿宋_GB2312" w:eastAsia="仿宋_GB2312" w:cs="仿宋_GB2312"/>
          <w:sz w:val="32"/>
          <w:szCs w:val="32"/>
          <w:shd w:val="clear" w:color="auto" w:fill="FFFFFF"/>
        </w:rPr>
      </w:pPr>
      <w:r>
        <w:rPr>
          <w:rFonts w:hint="eastAsia" w:ascii="CESI楷体-GB2312" w:hAnsi="CESI楷体-GB2312" w:eastAsia="CESI楷体-GB2312" w:cs="CESI楷体-GB2312"/>
          <w:color w:val="000000"/>
          <w:sz w:val="32"/>
          <w:szCs w:val="32"/>
          <w:shd w:val="clear" w:color="auto" w:fill="FFFFFF"/>
          <w:lang w:val="zh-CN"/>
        </w:rPr>
        <w:t>㈠机构组成。</w:t>
      </w:r>
      <w:r>
        <w:rPr>
          <w:rFonts w:hint="eastAsia" w:ascii="仿宋_GB2312" w:hAnsi="仿宋_GB2312" w:eastAsia="仿宋_GB2312" w:cs="仿宋_GB2312"/>
          <w:sz w:val="32"/>
          <w:szCs w:val="32"/>
          <w:shd w:val="clear" w:color="auto" w:fill="FFFFFF"/>
        </w:rPr>
        <w:t>根据《四川省人民政府办公厅关于四川省人民政府科学城办事处机构设置和职能配置的通知》（川办函〔2006〕61号）及《四川省人民政府办公厅关于四川省人民政府科学城办事处主要职责和机构设置的通知》（川办函〔2015〕42号）精神，科学城办事处为省政府的派出机构，与中国工程物理研究院（以下简称中物院）公共事务管理部一个机构两块牌子。</w:t>
      </w:r>
    </w:p>
    <w:p>
      <w:pPr>
        <w:widowControl/>
        <w:snapToGrid w:val="0"/>
        <w:spacing w:line="560" w:lineRule="exact"/>
        <w:ind w:firstLine="617" w:firstLineChars="193"/>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根据《关于调整优化四川省人民政府科学城办事处党政机构</w:t>
      </w:r>
      <w:r>
        <w:rPr>
          <w:rFonts w:hint="eastAsia" w:ascii="仿宋_GB2312" w:hAnsi="仿宋_GB2312" w:eastAsia="仿宋_GB2312" w:cs="仿宋_GB2312"/>
          <w:sz w:val="32"/>
          <w:szCs w:val="32"/>
          <w:shd w:val="clear" w:color="auto" w:fill="FFFFFF"/>
          <w:lang w:eastAsia="zh-CN"/>
        </w:rPr>
        <w:t>设置和职能配置</w:t>
      </w:r>
      <w:r>
        <w:rPr>
          <w:rFonts w:hint="eastAsia" w:ascii="仿宋_GB2312" w:hAnsi="仿宋_GB2312" w:eastAsia="仿宋_GB2312" w:cs="仿宋_GB2312"/>
          <w:sz w:val="32"/>
          <w:szCs w:val="32"/>
          <w:shd w:val="clear" w:color="auto" w:fill="FFFFFF"/>
        </w:rPr>
        <w:t>的批复》（川编办发〔202</w:t>
      </w: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60</w:t>
      </w:r>
      <w:r>
        <w:rPr>
          <w:rFonts w:hint="eastAsia" w:ascii="仿宋_GB2312" w:hAnsi="仿宋_GB2312" w:eastAsia="仿宋_GB2312" w:cs="仿宋_GB2312"/>
          <w:sz w:val="32"/>
          <w:szCs w:val="32"/>
          <w:shd w:val="clear" w:color="auto" w:fill="FFFFFF"/>
        </w:rPr>
        <w:t>号），调整后截</w:t>
      </w:r>
      <w:r>
        <w:rPr>
          <w:rFonts w:hint="eastAsia" w:ascii="仿宋_GB2312" w:hAnsi="仿宋_GB2312" w:eastAsia="仿宋_GB2312" w:cs="仿宋_GB2312"/>
          <w:sz w:val="32"/>
          <w:szCs w:val="32"/>
          <w:shd w:val="clear" w:color="auto" w:fill="FFFFFF"/>
          <w:lang w:eastAsia="zh-CN"/>
        </w:rPr>
        <w:t>至</w:t>
      </w:r>
      <w:r>
        <w:rPr>
          <w:rFonts w:hint="eastAsia" w:ascii="仿宋_GB2312" w:hAnsi="仿宋_GB2312" w:eastAsia="仿宋_GB2312" w:cs="仿宋_GB2312"/>
          <w:sz w:val="32"/>
          <w:szCs w:val="32"/>
          <w:shd w:val="clear" w:color="auto" w:fill="FFFFFF"/>
        </w:rPr>
        <w:t>202</w:t>
      </w: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年末，四川省人民政府科学城办事处共设置党委机构6个、职能机构22个。</w:t>
      </w:r>
    </w:p>
    <w:p>
      <w:pPr>
        <w:widowControl/>
        <w:snapToGrid w:val="0"/>
        <w:spacing w:line="560" w:lineRule="exact"/>
        <w:ind w:firstLine="617" w:firstLineChars="193"/>
        <w:rPr>
          <w:rFonts w:hint="eastAsia"/>
          <w:b/>
          <w:bCs/>
          <w:color w:val="000000"/>
          <w:sz w:val="32"/>
          <w:szCs w:val="32"/>
          <w:shd w:val="clear" w:color="auto" w:fill="FFFFFF"/>
          <w:lang w:val="zh-CN"/>
        </w:rPr>
      </w:pPr>
      <w:r>
        <w:rPr>
          <w:rFonts w:hint="eastAsia" w:ascii="CESI楷体-GB2312" w:hAnsi="CESI楷体-GB2312" w:eastAsia="CESI楷体-GB2312" w:cs="CESI楷体-GB2312"/>
          <w:color w:val="000000"/>
          <w:sz w:val="32"/>
          <w:szCs w:val="32"/>
          <w:shd w:val="clear" w:color="auto" w:fill="FFFFFF"/>
          <w:lang w:val="zh-CN"/>
        </w:rPr>
        <w:t>㈡机构职能。</w:t>
      </w:r>
      <w:r>
        <w:rPr>
          <w:rFonts w:hint="eastAsia" w:ascii="仿宋_GB2312" w:hAnsi="仿宋_GB2312" w:eastAsia="仿宋_GB2312" w:cs="仿宋_GB2312"/>
          <w:sz w:val="32"/>
          <w:szCs w:val="32"/>
          <w:shd w:val="clear" w:color="auto" w:fill="FFFFFF"/>
        </w:rPr>
        <w:t>主要职能是：贯彻执行国家的法律、法规和方针政策；省政府授权其负责中物院在川征地范围内的行政管理和行政执法工作；承办省政府交办的其他事项。</w:t>
      </w:r>
    </w:p>
    <w:p>
      <w:pPr>
        <w:adjustRightInd/>
        <w:spacing w:line="560" w:lineRule="exact"/>
        <w:ind w:firstLine="640" w:firstLineChars="200"/>
        <w:rPr>
          <w:rFonts w:hint="eastAsia" w:ascii="仿宋_GB2312" w:hAnsi="仿宋_GB2312" w:eastAsia="仿宋_GB2312" w:cs="仿宋_GB2312"/>
          <w:sz w:val="32"/>
          <w:szCs w:val="32"/>
        </w:rPr>
      </w:pPr>
      <w:r>
        <w:rPr>
          <w:rFonts w:hint="eastAsia" w:ascii="CESI楷体-GB2312" w:hAnsi="CESI楷体-GB2312" w:eastAsia="CESI楷体-GB2312" w:cs="CESI楷体-GB2312"/>
          <w:color w:val="000000"/>
          <w:sz w:val="32"/>
          <w:szCs w:val="32"/>
          <w:shd w:val="clear" w:color="auto" w:fill="FFFFFF"/>
          <w:lang w:val="zh-CN"/>
        </w:rPr>
        <w:t>㈢人员概况。</w:t>
      </w: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年末，</w:t>
      </w:r>
      <w:r>
        <w:rPr>
          <w:rFonts w:hint="eastAsia" w:ascii="仿宋_GB2312" w:hAnsi="仿宋_GB2312" w:eastAsia="仿宋_GB2312" w:cs="仿宋_GB2312"/>
          <w:sz w:val="32"/>
          <w:szCs w:val="32"/>
          <w:shd w:val="clear" w:color="auto" w:fill="FFFFFF"/>
        </w:rPr>
        <w:t>根据省政府办公厅《关于四川省人民政府科学城办事处主要职责和机构设置的通知》（川办函〔2015〕42号）下达的编制数380人，年末实有人数380人，当年未发生变动。</w:t>
      </w:r>
    </w:p>
    <w:p>
      <w:pPr>
        <w:widowControl/>
        <w:snapToGrid w:val="0"/>
        <w:spacing w:line="560" w:lineRule="exact"/>
        <w:ind w:firstLine="640" w:firstLineChars="200"/>
        <w:contextualSpacing/>
        <w:rPr>
          <w:rFonts w:hint="eastAsia" w:ascii="CESI黑体-GB2312" w:hAnsi="CESI黑体-GB2312" w:eastAsia="CESI黑体-GB2312" w:cs="CESI黑体-GB2312"/>
          <w:color w:val="000000"/>
          <w:sz w:val="32"/>
          <w:szCs w:val="32"/>
          <w:shd w:val="clear" w:color="auto" w:fill="FFFFFF"/>
          <w:lang w:val="zh-CN"/>
        </w:rPr>
      </w:pPr>
      <w:r>
        <w:rPr>
          <w:rFonts w:hint="eastAsia" w:ascii="CESI黑体-GB2312" w:hAnsi="CESI黑体-GB2312" w:eastAsia="CESI黑体-GB2312" w:cs="CESI黑体-GB2312"/>
          <w:color w:val="000000"/>
          <w:sz w:val="32"/>
          <w:szCs w:val="32"/>
          <w:shd w:val="clear" w:color="auto" w:fill="FFFFFF"/>
          <w:lang w:val="zh-CN"/>
        </w:rPr>
        <w:t>二、部门资金收支情况</w:t>
      </w:r>
    </w:p>
    <w:p>
      <w:pPr>
        <w:widowControl/>
        <w:snapToGrid w:val="0"/>
        <w:spacing w:line="560" w:lineRule="exact"/>
        <w:ind w:firstLine="640" w:firstLineChars="200"/>
        <w:contextualSpacing/>
        <w:rPr>
          <w:rFonts w:hint="eastAsia" w:ascii="仿宋_GB2312" w:hAnsi="仿宋_GB2312" w:eastAsia="仿宋_GB2312" w:cs="仿宋_GB2312"/>
          <w:b/>
          <w:bCs/>
          <w:color w:val="000000"/>
          <w:sz w:val="32"/>
          <w:szCs w:val="32"/>
          <w:shd w:val="clear" w:color="auto" w:fill="FFFFFF"/>
        </w:rPr>
      </w:pPr>
      <w:r>
        <w:rPr>
          <w:rFonts w:hint="eastAsia" w:ascii="CESI楷体-GB2312" w:hAnsi="CESI楷体-GB2312" w:eastAsia="CESI楷体-GB2312" w:cs="CESI楷体-GB2312"/>
          <w:color w:val="000000"/>
          <w:sz w:val="32"/>
          <w:szCs w:val="32"/>
          <w:shd w:val="clear" w:color="auto" w:fill="FFFFFF"/>
          <w:lang w:val="zh-CN"/>
        </w:rPr>
        <w:t>㈠收入情况。</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年初预算收入、决算报表收入均为</w:t>
      </w:r>
      <w:r>
        <w:rPr>
          <w:rFonts w:hint="eastAsia" w:ascii="仿宋_GB2312" w:hAnsi="仿宋_GB2312" w:eastAsia="仿宋_GB2312" w:cs="仿宋_GB2312"/>
          <w:sz w:val="32"/>
          <w:szCs w:val="32"/>
          <w:lang w:val="en-US" w:eastAsia="zh-CN"/>
        </w:rPr>
        <w:t>1533.26</w:t>
      </w:r>
      <w:r>
        <w:rPr>
          <w:rFonts w:hint="eastAsia" w:ascii="仿宋_GB2312" w:hAnsi="仿宋_GB2312" w:eastAsia="仿宋_GB2312" w:cs="仿宋_GB2312"/>
          <w:sz w:val="32"/>
          <w:szCs w:val="32"/>
        </w:rPr>
        <w:t>万元。</w:t>
      </w:r>
    </w:p>
    <w:p>
      <w:pPr>
        <w:widowControl/>
        <w:snapToGrid w:val="0"/>
        <w:spacing w:line="560" w:lineRule="exact"/>
        <w:ind w:firstLine="640" w:firstLineChars="200"/>
        <w:contextualSpacing/>
        <w:rPr>
          <w:rFonts w:hint="eastAsia" w:ascii="仿宋_GB2312" w:hAnsi="仿宋_GB2312" w:eastAsia="仿宋_GB2312" w:cs="仿宋_GB2312"/>
          <w:sz w:val="32"/>
          <w:szCs w:val="32"/>
          <w:lang w:val="zh-CN"/>
        </w:rPr>
      </w:pPr>
      <w:r>
        <w:rPr>
          <w:rFonts w:hint="eastAsia" w:ascii="CESI楷体-GB2312" w:hAnsi="CESI楷体-GB2312" w:eastAsia="CESI楷体-GB2312" w:cs="CESI楷体-GB2312"/>
          <w:color w:val="000000"/>
          <w:sz w:val="32"/>
          <w:szCs w:val="32"/>
          <w:shd w:val="clear" w:color="auto" w:fill="FFFFFF"/>
          <w:lang w:val="zh-CN"/>
        </w:rPr>
        <w:t>㈡支出情况。</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年初预算支出、决算报表支出均为</w:t>
      </w:r>
      <w:r>
        <w:rPr>
          <w:rFonts w:hint="eastAsia" w:ascii="仿宋_GB2312" w:hAnsi="仿宋_GB2312" w:eastAsia="仿宋_GB2312" w:cs="仿宋_GB2312"/>
          <w:sz w:val="32"/>
          <w:szCs w:val="32"/>
          <w:lang w:val="en-US" w:eastAsia="zh-CN"/>
        </w:rPr>
        <w:t>1533.26</w:t>
      </w:r>
      <w:r>
        <w:rPr>
          <w:rFonts w:hint="eastAsia" w:ascii="仿宋_GB2312" w:hAnsi="仿宋_GB2312" w:eastAsia="仿宋_GB2312" w:cs="仿宋_GB2312"/>
          <w:sz w:val="32"/>
          <w:szCs w:val="32"/>
        </w:rPr>
        <w:t>万元。</w:t>
      </w:r>
    </w:p>
    <w:p>
      <w:pPr>
        <w:snapToGrid w:val="0"/>
        <w:spacing w:line="560" w:lineRule="exact"/>
        <w:ind w:firstLine="640" w:firstLineChars="200"/>
        <w:rPr>
          <w:rFonts w:hint="eastAsia" w:ascii="仿宋_GB2312" w:hAnsi="仿宋_GB2312" w:eastAsia="仿宋_GB2312" w:cs="仿宋_GB2312"/>
          <w:color w:val="000000"/>
          <w:sz w:val="32"/>
          <w:szCs w:val="32"/>
          <w:shd w:val="clear" w:color="auto" w:fill="FFFFFF"/>
          <w:lang w:val="zh-CN"/>
        </w:rPr>
      </w:pPr>
      <w:r>
        <w:rPr>
          <w:rFonts w:hint="eastAsia" w:ascii="CESI楷体-GB2312" w:hAnsi="CESI楷体-GB2312" w:eastAsia="CESI楷体-GB2312" w:cs="CESI楷体-GB2312"/>
          <w:color w:val="000000"/>
          <w:sz w:val="32"/>
          <w:szCs w:val="32"/>
          <w:shd w:val="clear" w:color="auto" w:fill="FFFFFF"/>
          <w:lang w:val="zh-CN"/>
        </w:rPr>
        <w:t>㈢结余分配和结转结余情况。</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年决算报表各项收支无结转和结余</w:t>
      </w:r>
      <w:r>
        <w:rPr>
          <w:rFonts w:hint="eastAsia" w:ascii="仿宋_GB2312" w:hAnsi="仿宋_GB2312" w:eastAsia="仿宋_GB2312" w:cs="仿宋_GB2312"/>
          <w:color w:val="000000"/>
          <w:sz w:val="32"/>
          <w:szCs w:val="32"/>
          <w:shd w:val="clear" w:color="auto" w:fill="FFFFFF"/>
        </w:rPr>
        <w:t>。</w:t>
      </w:r>
    </w:p>
    <w:p>
      <w:pPr>
        <w:widowControl/>
        <w:snapToGrid w:val="0"/>
        <w:spacing w:line="560" w:lineRule="exact"/>
        <w:ind w:firstLine="640" w:firstLineChars="200"/>
        <w:contextualSpacing/>
        <w:rPr>
          <w:rFonts w:hint="eastAsia" w:ascii="CESI黑体-GB2312" w:hAnsi="CESI黑体-GB2312" w:eastAsia="CESI黑体-GB2312" w:cs="CESI黑体-GB2312"/>
          <w:color w:val="000000"/>
          <w:sz w:val="32"/>
          <w:szCs w:val="32"/>
          <w:shd w:val="clear" w:color="auto" w:fill="FFFFFF"/>
          <w:lang w:val="zh-CN"/>
        </w:rPr>
      </w:pPr>
      <w:r>
        <w:rPr>
          <w:rFonts w:hint="eastAsia" w:ascii="CESI黑体-GB2312" w:hAnsi="CESI黑体-GB2312" w:eastAsia="CESI黑体-GB2312" w:cs="CESI黑体-GB2312"/>
          <w:color w:val="000000"/>
          <w:sz w:val="32"/>
          <w:szCs w:val="32"/>
          <w:shd w:val="clear" w:color="auto" w:fill="FFFFFF"/>
          <w:lang w:val="zh-CN"/>
        </w:rPr>
        <w:t>三、部门预算绩效分析</w:t>
      </w:r>
    </w:p>
    <w:p>
      <w:pPr>
        <w:widowControl/>
        <w:numPr>
          <w:ilvl w:val="0"/>
          <w:numId w:val="0"/>
        </w:numPr>
        <w:snapToGrid w:val="0"/>
        <w:spacing w:line="560" w:lineRule="exact"/>
        <w:ind w:firstLine="617" w:firstLineChars="193"/>
        <w:rPr>
          <w:rFonts w:hint="eastAsia" w:ascii="CESI楷体-GB2312" w:hAnsi="CESI楷体-GB2312" w:eastAsia="CESI楷体-GB2312" w:cs="CESI楷体-GB2312"/>
          <w:color w:val="000000"/>
          <w:sz w:val="32"/>
          <w:szCs w:val="32"/>
          <w:shd w:val="clear" w:color="auto" w:fill="FFFFFF"/>
          <w:lang w:val="zh-CN"/>
        </w:rPr>
      </w:pPr>
      <w:r>
        <w:rPr>
          <w:rFonts w:hint="eastAsia" w:ascii="CESI楷体-GB2312" w:hAnsi="CESI楷体-GB2312" w:eastAsia="CESI楷体-GB2312" w:cs="CESI楷体-GB2312"/>
          <w:color w:val="000000"/>
          <w:sz w:val="32"/>
          <w:szCs w:val="32"/>
          <w:shd w:val="clear" w:color="auto" w:fill="FFFFFF"/>
          <w:lang w:val="zh-CN"/>
        </w:rPr>
        <w:t>㈠部门预算总体绩效分析</w:t>
      </w:r>
    </w:p>
    <w:p>
      <w:pPr>
        <w:snapToGrid w:val="0"/>
        <w:spacing w:line="560" w:lineRule="exact"/>
        <w:ind w:firstLine="640"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根据部门预算绩效评价指标体系“总体绩效”涉及二、三级指标进行逐项绩效分析并评分，依次包括履职效能、预算管理、财务管理、资产管理、采购管理等情况。</w:t>
      </w:r>
    </w:p>
    <w:p>
      <w:pPr>
        <w:snapToGrid w:val="0"/>
        <w:spacing w:line="560" w:lineRule="exact"/>
        <w:ind w:firstLine="640" w:firstLineChars="200"/>
        <w:contextualSpacing/>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lang w:val="zh-CN"/>
        </w:rPr>
        <w:t>履职效能。</w:t>
      </w:r>
      <w:r>
        <w:rPr>
          <w:rFonts w:hint="eastAsia" w:ascii="仿宋_GB2312" w:hAnsi="仿宋_GB2312" w:eastAsia="仿宋_GB2312" w:cs="仿宋_GB2312"/>
          <w:sz w:val="32"/>
          <w:szCs w:val="32"/>
          <w:shd w:val="clear" w:color="auto" w:fill="FFFFFF"/>
        </w:rPr>
        <w:t>（分值15分，自评15分）</w:t>
      </w:r>
    </w:p>
    <w:p>
      <w:pPr>
        <w:snapToGrid w:val="0"/>
        <w:spacing w:line="560" w:lineRule="exact"/>
        <w:ind w:firstLine="642" w:firstLineChars="200"/>
        <w:contextualSpacing/>
        <w:rPr>
          <w:rFonts w:hint="eastAsia" w:ascii="仿宋_GB2312" w:hAnsi="仿宋_GB2312" w:eastAsia="仿宋_GB2312" w:cs="仿宋_GB2312"/>
          <w:b w:val="0"/>
          <w:bCs w:val="0"/>
          <w:color w:val="auto"/>
          <w:sz w:val="32"/>
          <w:szCs w:val="32"/>
          <w:shd w:val="clear" w:color="auto" w:fill="FFFFFF"/>
          <w:lang w:val="zh-CN"/>
        </w:rPr>
      </w:pPr>
      <w:r>
        <w:rPr>
          <w:rFonts w:hint="eastAsia" w:ascii="仿宋_GB2312" w:hAnsi="仿宋_GB2312" w:eastAsia="仿宋_GB2312" w:cs="仿宋_GB2312"/>
          <w:b/>
          <w:bCs/>
          <w:color w:val="auto"/>
          <w:sz w:val="32"/>
          <w:szCs w:val="32"/>
          <w:shd w:val="clear" w:color="auto" w:fill="FFFFFF"/>
          <w:lang w:val="zh-CN"/>
        </w:rPr>
        <w:t>卫生健康保障有力有效。</w:t>
      </w:r>
      <w:r>
        <w:rPr>
          <w:rFonts w:hint="eastAsia" w:ascii="仿宋_GB2312" w:hAnsi="仿宋_GB2312" w:eastAsia="仿宋_GB2312" w:cs="仿宋_GB2312"/>
          <w:b w:val="0"/>
          <w:bCs w:val="0"/>
          <w:color w:val="auto"/>
          <w:sz w:val="32"/>
          <w:szCs w:val="32"/>
          <w:shd w:val="clear" w:color="auto" w:fill="FFFFFF"/>
          <w:lang w:val="zh-CN"/>
        </w:rPr>
        <w:t>提升诊疗水平，职工医院深化同绵阳市中心医院交流融合，儿科获评省级儿童早期发展基地，核医学科、康复医学科分别立项省市级临床重点专科建设，九〇三医院建成智慧实验室、基因组学实验室、心理健康中心、染色体畸变及微核检测平台。强化职工健康保障，职工医院推出骨干科研人员“全健康”管理模式，设立健康咨询门诊提供检前咨询、检后解读体检报告服务，在科研所新增1个保障点位、建立3个常态化驻点；九〇三医院建立健全职工体检闭环管理机制，开设体重管理特色门诊、简易门诊、华丰生活五区便民医疗点，职工及家属个性化医疗服务需求更好满足。</w:t>
      </w:r>
    </w:p>
    <w:p>
      <w:pPr>
        <w:snapToGrid w:val="0"/>
        <w:spacing w:line="560" w:lineRule="exact"/>
        <w:ind w:firstLine="642" w:firstLineChars="200"/>
        <w:contextualSpacing/>
        <w:rPr>
          <w:rFonts w:hint="eastAsia" w:ascii="仿宋_GB2312" w:hAnsi="仿宋_GB2312" w:eastAsia="仿宋_GB2312" w:cs="仿宋_GB2312"/>
          <w:b w:val="0"/>
          <w:bCs w:val="0"/>
          <w:color w:val="auto"/>
          <w:sz w:val="32"/>
          <w:szCs w:val="32"/>
          <w:shd w:val="clear" w:color="auto" w:fill="FFFFFF"/>
          <w:lang w:val="zh-CN"/>
        </w:rPr>
      </w:pPr>
      <w:r>
        <w:rPr>
          <w:rFonts w:hint="eastAsia" w:ascii="仿宋_GB2312" w:hAnsi="仿宋_GB2312" w:eastAsia="仿宋_GB2312" w:cs="仿宋_GB2312"/>
          <w:b/>
          <w:bCs/>
          <w:color w:val="auto"/>
          <w:sz w:val="32"/>
          <w:szCs w:val="32"/>
          <w:shd w:val="clear" w:color="auto" w:fill="FFFFFF"/>
          <w:lang w:val="zh-CN"/>
        </w:rPr>
        <w:t>基础教育事业高位发展。</w:t>
      </w:r>
      <w:r>
        <w:rPr>
          <w:rFonts w:hint="eastAsia" w:ascii="仿宋_GB2312" w:hAnsi="仿宋_GB2312" w:eastAsia="仿宋_GB2312" w:cs="仿宋_GB2312"/>
          <w:b w:val="0"/>
          <w:bCs w:val="0"/>
          <w:color w:val="auto"/>
          <w:sz w:val="32"/>
          <w:szCs w:val="32"/>
          <w:shd w:val="clear" w:color="auto" w:fill="FFFFFF"/>
          <w:lang w:val="zh-CN"/>
        </w:rPr>
        <w:t>聚焦教育质量提升，科学城一中深化与中科大、西安交大等高校人才衔接培养，牵头成立绵阳市首个“幼小初高大”思政联合教研工作室，春蕾学校与东北师大、西科大、绵阳师院在教育科研课题共研等领域开展深度合作。持续彰显科技特色，科学城一中获评“青少年科学与工程教育创新实践基地”，科学教育案例获教育部推介并被央视报道，春蕾学校学生在世界机器人大赛四川选拔赛中夺冠晋级国赛。教师队伍建设成效明显，1人获评省“揭榜挂帅”名校长工作室领衔人，2人入选省首批新时代中小学学科领军教师。暑期幼小全学段托管服务、秋假“社会实践+校内托管”服务精心组织开展，院内职工子女生源回流态势明显。科学城高质量通过省级学前教育普及普惠督导评估，春蕾学校幼托中心园获授“教育部幼儿园园长培训中心实践教学基地”。</w:t>
      </w:r>
    </w:p>
    <w:p>
      <w:pPr>
        <w:snapToGrid w:val="0"/>
        <w:spacing w:line="560" w:lineRule="exact"/>
        <w:ind w:firstLine="642" w:firstLineChars="200"/>
        <w:contextualSpacing/>
        <w:rPr>
          <w:rFonts w:hint="eastAsia" w:ascii="仿宋_GB2312" w:hAnsi="仿宋_GB2312" w:eastAsia="仿宋_GB2312" w:cs="仿宋_GB2312"/>
          <w:b w:val="0"/>
          <w:bCs w:val="0"/>
          <w:color w:val="auto"/>
          <w:sz w:val="32"/>
          <w:szCs w:val="32"/>
          <w:shd w:val="clear" w:color="auto" w:fill="FFFFFF"/>
          <w:lang w:val="zh-CN"/>
        </w:rPr>
      </w:pPr>
      <w:r>
        <w:rPr>
          <w:rFonts w:hint="eastAsia" w:ascii="仿宋_GB2312" w:hAnsi="仿宋_GB2312" w:eastAsia="仿宋_GB2312" w:cs="仿宋_GB2312"/>
          <w:b/>
          <w:bCs/>
          <w:color w:val="auto"/>
          <w:sz w:val="32"/>
          <w:szCs w:val="32"/>
          <w:shd w:val="clear" w:color="auto" w:fill="FFFFFF"/>
          <w:lang w:val="zh-CN"/>
        </w:rPr>
        <w:t>社会保障水平持续提升。</w:t>
      </w:r>
      <w:r>
        <w:rPr>
          <w:rFonts w:hint="eastAsia" w:ascii="仿宋_GB2312" w:hAnsi="仿宋_GB2312" w:eastAsia="仿宋_GB2312" w:cs="仿宋_GB2312"/>
          <w:b w:val="0"/>
          <w:bCs w:val="0"/>
          <w:color w:val="auto"/>
          <w:sz w:val="32"/>
          <w:szCs w:val="32"/>
          <w:shd w:val="clear" w:color="auto" w:fill="FFFFFF"/>
          <w:lang w:val="zh-CN"/>
        </w:rPr>
        <w:t>完善职工基本医保政策体系与技术平台建设，联动医院医保系统改造。拓展职工医保“就近办+异地办”服务网络，办理职工医保异地报销1770人次、网上报销 1719 人次。加强生育友好型社会建设，审核发放育儿补贴近160万元。持续开展金秋助学、临时生活救助、“慈善+医疗”等帮扶活动，惠及职工686人次。回应民生关切，新增老年助餐点6个，建设康复辅具租赁点2个，帮助职工家属多元化就业64人次。住房公积金管理推出三项惠民政策，完成业务电子档案系统建设，上线 AI 智能客服。</w:t>
      </w:r>
    </w:p>
    <w:p>
      <w:pPr>
        <w:snapToGrid w:val="0"/>
        <w:spacing w:line="560" w:lineRule="exact"/>
        <w:ind w:firstLine="642" w:firstLineChars="200"/>
        <w:contextualSpacing/>
        <w:rPr>
          <w:rFonts w:hint="eastAsia" w:ascii="仿宋_GB2312" w:hAnsi="仿宋_GB2312" w:eastAsia="仿宋_GB2312" w:cs="仿宋_GB2312"/>
          <w:b w:val="0"/>
          <w:bCs w:val="0"/>
          <w:color w:val="auto"/>
          <w:sz w:val="32"/>
          <w:szCs w:val="32"/>
          <w:shd w:val="clear" w:color="auto" w:fill="FFFFFF"/>
          <w:lang w:val="zh-CN"/>
        </w:rPr>
      </w:pPr>
      <w:r>
        <w:rPr>
          <w:rFonts w:hint="eastAsia" w:ascii="仿宋_GB2312" w:hAnsi="仿宋_GB2312" w:eastAsia="仿宋_GB2312" w:cs="仿宋_GB2312"/>
          <w:b/>
          <w:bCs/>
          <w:color w:val="auto"/>
          <w:sz w:val="32"/>
          <w:szCs w:val="32"/>
          <w:shd w:val="clear" w:color="auto" w:fill="FFFFFF"/>
          <w:lang w:val="zh-CN"/>
        </w:rPr>
        <w:t>城市更新谋划启动。</w:t>
      </w:r>
      <w:r>
        <w:rPr>
          <w:rFonts w:hint="eastAsia" w:ascii="仿宋_GB2312" w:hAnsi="仿宋_GB2312" w:eastAsia="仿宋_GB2312" w:cs="仿宋_GB2312"/>
          <w:b w:val="0"/>
          <w:bCs w:val="0"/>
          <w:color w:val="auto"/>
          <w:sz w:val="32"/>
          <w:szCs w:val="32"/>
          <w:shd w:val="clear" w:color="auto" w:fill="FFFFFF"/>
          <w:lang w:val="zh-CN"/>
        </w:rPr>
        <w:t>结合院人才高地建设高效落实中央城市工作会议精神，高标准完成《科学城片区规划及城市设计》《科学城科研保障区城市更新规划设计》编制并通过院、市联合审查，科学城列为“四川省城市更新重点片区”。创新机制保障，建立“院地联合工作专班”协调机制，加快前期准备工作，明确资金筹措渠道，建立总投资约40亿元的项目储备库，聚焦民生急迫与安全短板启动首批12个项目前期准备工作。</w:t>
      </w:r>
    </w:p>
    <w:p>
      <w:pPr>
        <w:snapToGrid w:val="0"/>
        <w:spacing w:line="560" w:lineRule="exact"/>
        <w:ind w:firstLine="642" w:firstLineChars="200"/>
        <w:contextualSpacing/>
        <w:rPr>
          <w:rFonts w:hint="eastAsia" w:ascii="仿宋_GB2312" w:hAnsi="仿宋_GB2312" w:eastAsia="仿宋_GB2312" w:cs="仿宋_GB2312"/>
          <w:b w:val="0"/>
          <w:bCs w:val="0"/>
          <w:color w:val="auto"/>
          <w:sz w:val="32"/>
          <w:szCs w:val="32"/>
          <w:shd w:val="clear" w:color="auto" w:fill="FFFFFF"/>
          <w:lang w:val="zh-CN"/>
        </w:rPr>
      </w:pPr>
      <w:r>
        <w:rPr>
          <w:rFonts w:hint="eastAsia" w:ascii="仿宋_GB2312" w:hAnsi="仿宋_GB2312" w:eastAsia="仿宋_GB2312" w:cs="仿宋_GB2312"/>
          <w:b/>
          <w:bCs/>
          <w:color w:val="auto"/>
          <w:sz w:val="32"/>
          <w:szCs w:val="32"/>
          <w:shd w:val="clear" w:color="auto" w:fill="FFFFFF"/>
          <w:lang w:val="zh-CN"/>
        </w:rPr>
        <w:t>城市运行管理平稳有序。</w:t>
      </w:r>
      <w:r>
        <w:rPr>
          <w:rFonts w:hint="eastAsia" w:ascii="仿宋_GB2312" w:hAnsi="仿宋_GB2312" w:eastAsia="仿宋_GB2312" w:cs="仿宋_GB2312"/>
          <w:b w:val="0"/>
          <w:bCs w:val="0"/>
          <w:color w:val="auto"/>
          <w:sz w:val="32"/>
          <w:szCs w:val="32"/>
          <w:shd w:val="clear" w:color="auto" w:fill="FFFFFF"/>
          <w:lang w:val="zh-CN"/>
        </w:rPr>
        <w:t>深入开展在建工地大气污染防治专项巡查、道路扬尘防治整治，持续做好市政设施运维、环卫绿化等工作，科学城城市面貌进一步改善。强化科研运输道路安全保障和隐患整治，实施辖区交通勤务路长制管理，落实春蕾学校周边“高峰勤务”机制，协调开通科学城至成都的便民快巴专线，保障职工群众日常出行便捷畅通。健全院公共资产管理体系，优化院公租房房源配置和租住流程，352名新职工和76户陪读职工家庭顺利入住公租房；做好公租房质量整改收尾工作，司法诉讼获赔1407万元，清退违规占房97套，有效保障了院公共资产公平高效使用。</w:t>
      </w:r>
    </w:p>
    <w:p>
      <w:pPr>
        <w:snapToGrid w:val="0"/>
        <w:spacing w:line="560" w:lineRule="exact"/>
        <w:ind w:firstLine="642" w:firstLineChars="200"/>
        <w:contextualSpacing/>
        <w:rPr>
          <w:rFonts w:hint="eastAsia" w:ascii="仿宋_GB2312" w:hAnsi="仿宋_GB2312" w:eastAsia="仿宋_GB2312" w:cs="仿宋_GB2312"/>
          <w:b w:val="0"/>
          <w:bCs w:val="0"/>
          <w:color w:val="auto"/>
          <w:sz w:val="32"/>
          <w:szCs w:val="32"/>
          <w:shd w:val="clear" w:color="auto" w:fill="FFFFFF"/>
          <w:lang w:val="zh-CN"/>
        </w:rPr>
      </w:pPr>
      <w:r>
        <w:rPr>
          <w:rFonts w:hint="eastAsia" w:ascii="仿宋_GB2312" w:hAnsi="仿宋_GB2312" w:eastAsia="仿宋_GB2312" w:cs="仿宋_GB2312"/>
          <w:b/>
          <w:bCs/>
          <w:color w:val="auto"/>
          <w:sz w:val="32"/>
          <w:szCs w:val="32"/>
          <w:shd w:val="clear" w:color="auto" w:fill="FFFFFF"/>
          <w:lang w:val="zh-CN"/>
        </w:rPr>
        <w:t>经济监管服务持续深入。</w:t>
      </w:r>
      <w:r>
        <w:rPr>
          <w:rFonts w:hint="eastAsia" w:ascii="仿宋_GB2312" w:hAnsi="仿宋_GB2312" w:eastAsia="仿宋_GB2312" w:cs="仿宋_GB2312"/>
          <w:b w:val="0"/>
          <w:bCs w:val="0"/>
          <w:color w:val="auto"/>
          <w:sz w:val="32"/>
          <w:szCs w:val="32"/>
          <w:shd w:val="clear" w:color="auto" w:fill="FFFFFF"/>
          <w:lang w:val="zh-CN"/>
        </w:rPr>
        <w:t>严格落实食品安全“两个责任”，持续推进校园食品安全问题整治，围绕农兽药残留等食品高风险问题扎实开展各类专项整治行动，组织开展食品抽样检测346批次、食品快速检测1473批次，守住了职工居民“舌尖上的安全”。高效处置消费投诉举报，切实维护消费者合法权益。依法组织税收工作，全年税费收入预计达11亿元（含社保费），较上年增长75%，本级财力得到壮大。</w:t>
      </w:r>
    </w:p>
    <w:p>
      <w:pPr>
        <w:snapToGrid w:val="0"/>
        <w:spacing w:line="560" w:lineRule="exact"/>
        <w:ind w:firstLine="642" w:firstLineChars="200"/>
        <w:contextualSpacing/>
        <w:rPr>
          <w:rFonts w:hint="eastAsia" w:ascii="仿宋_GB2312" w:hAnsi="仿宋_GB2312" w:eastAsia="仿宋_GB2312" w:cs="仿宋_GB2312"/>
          <w:b w:val="0"/>
          <w:bCs w:val="0"/>
          <w:color w:val="auto"/>
          <w:sz w:val="32"/>
          <w:szCs w:val="32"/>
          <w:shd w:val="clear" w:color="auto" w:fill="FFFFFF"/>
          <w:lang w:val="zh-CN"/>
        </w:rPr>
      </w:pPr>
      <w:r>
        <w:rPr>
          <w:rFonts w:hint="eastAsia" w:ascii="仿宋_GB2312" w:hAnsi="仿宋_GB2312" w:eastAsia="仿宋_GB2312" w:cs="仿宋_GB2312"/>
          <w:b/>
          <w:bCs/>
          <w:color w:val="auto"/>
          <w:sz w:val="32"/>
          <w:szCs w:val="32"/>
          <w:shd w:val="clear" w:color="auto" w:fill="FFFFFF"/>
          <w:lang w:val="zh-CN"/>
        </w:rPr>
        <w:t>公共文化建设成果丰硕。</w:t>
      </w:r>
      <w:r>
        <w:rPr>
          <w:rFonts w:hint="eastAsia" w:ascii="仿宋_GB2312" w:hAnsi="仿宋_GB2312" w:eastAsia="仿宋_GB2312" w:cs="仿宋_GB2312"/>
          <w:b w:val="0"/>
          <w:bCs w:val="0"/>
          <w:color w:val="auto"/>
          <w:sz w:val="32"/>
          <w:szCs w:val="32"/>
          <w:shd w:val="clear" w:color="auto" w:fill="FFFFFF"/>
          <w:lang w:val="zh-CN"/>
        </w:rPr>
        <w:t>持续上新“两弹精神薪火相传”主题教育、科学城春晚、才艺达人秀、非遗走进科学城等文化活动，参与职工群众14.8万人次，同比增长2.5倍，文化品牌特色不断彰显。高效承办院职工排球、乒乓球、足球联赛以及省、市职工运动会，组织科学城全民健身荟等体育赛事239场次，助力职工居民缓解压力、强身健体。推进科技馆内部改造和门球场升级，持续开展社区邻居节、文化节等特色文化活动，多元阵地丰富了职工居民文化生活。</w:t>
      </w:r>
    </w:p>
    <w:p>
      <w:pPr>
        <w:snapToGrid w:val="0"/>
        <w:spacing w:line="560" w:lineRule="exact"/>
        <w:ind w:firstLine="642" w:firstLineChars="200"/>
        <w:contextualSpacing/>
        <w:rPr>
          <w:rFonts w:hint="eastAsia" w:ascii="仿宋_GB2312" w:hAnsi="仿宋_GB2312" w:eastAsia="仿宋_GB2312" w:cs="仿宋_GB2312"/>
          <w:b w:val="0"/>
          <w:bCs w:val="0"/>
          <w:color w:val="auto"/>
          <w:sz w:val="32"/>
          <w:szCs w:val="32"/>
          <w:shd w:val="clear" w:color="auto" w:fill="FFFFFF"/>
          <w:lang w:val="zh-CN"/>
        </w:rPr>
      </w:pPr>
      <w:r>
        <w:rPr>
          <w:rFonts w:hint="eastAsia" w:ascii="仿宋_GB2312" w:hAnsi="仿宋_GB2312" w:eastAsia="仿宋_GB2312" w:cs="仿宋_GB2312"/>
          <w:b/>
          <w:bCs/>
          <w:color w:val="auto"/>
          <w:sz w:val="32"/>
          <w:szCs w:val="32"/>
          <w:shd w:val="clear" w:color="auto" w:fill="FFFFFF"/>
          <w:lang w:val="zh-CN"/>
        </w:rPr>
        <w:t>生活小区环境持续改善。</w:t>
      </w:r>
      <w:r>
        <w:rPr>
          <w:rFonts w:hint="eastAsia" w:ascii="仿宋_GB2312" w:hAnsi="仿宋_GB2312" w:eastAsia="仿宋_GB2312" w:cs="仿宋_GB2312"/>
          <w:b w:val="0"/>
          <w:bCs w:val="0"/>
          <w:color w:val="auto"/>
          <w:sz w:val="32"/>
          <w:szCs w:val="32"/>
          <w:shd w:val="clear" w:color="auto" w:fill="FFFFFF"/>
          <w:lang w:val="zh-CN"/>
        </w:rPr>
        <w:t>全力推进小区改造，二区、八区、葡萄园、华丰三区等多个小区楼宇及配套改造、燃气改造通过验收，科曦公园改造以及一区、五区配套部分即将完工，既有住宅增设电梯建成投用7部、开工在建11部，202部老旧电梯更新申报入库，生活小区提质升级全面加速。持续提升社区治理水平，圆满完成社区党总支换届选举、有序推进居委会换届选举，积极推动小区物业服务下沉、管理增效，社区工作扎实有效。</w:t>
      </w:r>
    </w:p>
    <w:p>
      <w:pPr>
        <w:snapToGrid w:val="0"/>
        <w:spacing w:line="560" w:lineRule="exact"/>
        <w:ind w:firstLine="642" w:firstLineChars="200"/>
        <w:contextualSpacing/>
        <w:rPr>
          <w:rFonts w:hint="eastAsia" w:ascii="仿宋_GB2312" w:hAnsi="仿宋_GB2312" w:eastAsia="仿宋_GB2312" w:cs="仿宋_GB2312"/>
          <w:b/>
          <w:bCs/>
          <w:color w:val="FF0000"/>
          <w:sz w:val="32"/>
          <w:szCs w:val="32"/>
          <w:shd w:val="clear" w:color="auto" w:fill="FFFFFF"/>
          <w:lang w:val="zh-CN"/>
        </w:rPr>
      </w:pPr>
      <w:r>
        <w:rPr>
          <w:rFonts w:hint="eastAsia" w:ascii="仿宋_GB2312" w:hAnsi="仿宋_GB2312" w:eastAsia="仿宋_GB2312" w:cs="仿宋_GB2312"/>
          <w:b/>
          <w:bCs/>
          <w:color w:val="auto"/>
          <w:sz w:val="32"/>
          <w:szCs w:val="32"/>
          <w:shd w:val="clear" w:color="auto" w:fill="FFFFFF"/>
          <w:lang w:val="zh-CN"/>
        </w:rPr>
        <w:t>平安科学城建设坚实有力。</w:t>
      </w:r>
      <w:r>
        <w:rPr>
          <w:rFonts w:hint="eastAsia" w:ascii="仿宋_GB2312" w:hAnsi="仿宋_GB2312" w:eastAsia="仿宋_GB2312" w:cs="仿宋_GB2312"/>
          <w:b w:val="0"/>
          <w:bCs w:val="0"/>
          <w:color w:val="auto"/>
          <w:sz w:val="32"/>
          <w:szCs w:val="32"/>
          <w:shd w:val="clear" w:color="auto" w:fill="FFFFFF"/>
          <w:lang w:val="zh-CN"/>
        </w:rPr>
        <w:t>加强社会治安综合治理，强化立体巡逻防控密度，完成全覆盖人口大摸底，治安类警情同比下降12.2%。严格落实重点人员管控措施，严厉打击各类违法犯罪行为，多措并举防范化解社会矛盾风险，妥善办理信访事项900余件，刑事案件破案率同比上升20%，食药环案件打击实现零突破。完成院“八五”普法规划总结验收。强化安全生产环保监督检查，常态化做好水务防汛、森林防火、邮政物流监管等工作，全年辖区未发生安全环保事件。</w:t>
      </w:r>
    </w:p>
    <w:p>
      <w:pPr>
        <w:snapToGrid w:val="0"/>
        <w:spacing w:line="560" w:lineRule="exact"/>
        <w:ind w:firstLine="640" w:firstLineChars="200"/>
        <w:contextualSpacing/>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预算管理。</w:t>
      </w:r>
      <w:r>
        <w:rPr>
          <w:rFonts w:hint="eastAsia" w:ascii="仿宋_GB2312" w:hAnsi="仿宋_GB2312" w:eastAsia="仿宋_GB2312" w:cs="仿宋_GB2312"/>
          <w:sz w:val="32"/>
          <w:szCs w:val="32"/>
          <w:shd w:val="clear" w:color="auto" w:fill="FFFFFF"/>
        </w:rPr>
        <w:t>（分值</w:t>
      </w:r>
      <w:r>
        <w:rPr>
          <w:rFonts w:hint="eastAsia" w:ascii="仿宋_GB2312" w:hAnsi="仿宋_GB2312" w:eastAsia="仿宋_GB2312" w:cs="仿宋_GB2312"/>
          <w:color w:val="auto"/>
          <w:sz w:val="32"/>
          <w:szCs w:val="32"/>
          <w:shd w:val="clear" w:color="auto" w:fill="FFFFFF"/>
        </w:rPr>
        <w:t>25分，自评</w:t>
      </w:r>
      <w:r>
        <w:rPr>
          <w:rFonts w:hint="eastAsia" w:ascii="仿宋_GB2312" w:hAnsi="仿宋_GB2312" w:eastAsia="仿宋_GB2312" w:cs="仿宋_GB2312"/>
          <w:color w:val="auto"/>
          <w:sz w:val="32"/>
          <w:szCs w:val="32"/>
          <w:shd w:val="clear" w:color="auto" w:fill="FFFFFF"/>
          <w:lang w:val="en-US" w:eastAsia="zh-CN"/>
        </w:rPr>
        <w:t>24.85</w:t>
      </w:r>
      <w:r>
        <w:rPr>
          <w:rFonts w:hint="eastAsia" w:ascii="仿宋_GB2312" w:hAnsi="仿宋_GB2312" w:eastAsia="仿宋_GB2312" w:cs="仿宋_GB2312"/>
          <w:color w:val="auto"/>
          <w:sz w:val="32"/>
          <w:szCs w:val="32"/>
          <w:shd w:val="clear" w:color="auto" w:fill="FFFFFF"/>
        </w:rPr>
        <w:t>分）</w:t>
      </w:r>
    </w:p>
    <w:p>
      <w:pPr>
        <w:pStyle w:val="2"/>
        <w:spacing w:line="560" w:lineRule="exact"/>
        <w:ind w:firstLine="640" w:firstLineChars="200"/>
        <w:jc w:val="both"/>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lang w:val="zh-CN"/>
        </w:rPr>
        <w:t>预算编制质量</w:t>
      </w:r>
      <w:r>
        <w:rPr>
          <w:rFonts w:hint="eastAsia" w:ascii="CESI仿宋-GB2312" w:hAnsi="CESI仿宋-GB2312" w:eastAsia="CESI仿宋-GB2312" w:cs="CESI仿宋-GB2312"/>
          <w:b/>
          <w:bCs/>
          <w:sz w:val="32"/>
          <w:szCs w:val="32"/>
        </w:rPr>
        <w:t>：</w:t>
      </w:r>
      <w:r>
        <w:rPr>
          <w:rFonts w:hint="eastAsia" w:ascii="CESI仿宋-GB2312" w:hAnsi="CESI仿宋-GB2312" w:eastAsia="CESI仿宋-GB2312" w:cs="CESI仿宋-GB2312"/>
          <w:snapToGrid w:val="0"/>
          <w:sz w:val="32"/>
          <w:szCs w:val="32"/>
          <w:shd w:val="clear" w:color="auto" w:fill="FFFFFF"/>
        </w:rPr>
        <w:t>四川省人民政府科学城办事处</w:t>
      </w:r>
      <w:r>
        <w:rPr>
          <w:rFonts w:hint="eastAsia" w:ascii="CESI仿宋-GB2312" w:hAnsi="CESI仿宋-GB2312" w:eastAsia="CESI仿宋-GB2312" w:cs="CESI仿宋-GB2312"/>
          <w:sz w:val="32"/>
          <w:szCs w:val="32"/>
        </w:rPr>
        <w:t>严格按要求编制年初部门预算，年初预算编制的科学性和准确性较高，</w:t>
      </w:r>
      <w:r>
        <w:rPr>
          <w:rFonts w:hint="eastAsia" w:ascii="CESI仿宋-GB2312" w:hAnsi="CESI仿宋-GB2312" w:eastAsia="CESI仿宋-GB2312" w:cs="CESI仿宋-GB2312"/>
          <w:snapToGrid w:val="0"/>
          <w:sz w:val="32"/>
          <w:szCs w:val="32"/>
          <w:shd w:val="clear" w:color="auto" w:fill="FFFFFF"/>
        </w:rPr>
        <w:t>该项指标得8分</w:t>
      </w:r>
      <w:r>
        <w:rPr>
          <w:rFonts w:hint="eastAsia" w:ascii="CESI仿宋-GB2312" w:hAnsi="CESI仿宋-GB2312" w:eastAsia="CESI仿宋-GB2312" w:cs="CESI仿宋-GB2312"/>
          <w:sz w:val="32"/>
          <w:szCs w:val="32"/>
        </w:rPr>
        <w:t>。</w:t>
      </w:r>
    </w:p>
    <w:p>
      <w:pPr>
        <w:pStyle w:val="2"/>
        <w:spacing w:line="560" w:lineRule="exact"/>
        <w:ind w:firstLine="640" w:firstLineChars="200"/>
        <w:jc w:val="both"/>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lang w:val="zh-CN"/>
        </w:rPr>
        <w:t>单位收入统筹</w:t>
      </w:r>
      <w:r>
        <w:rPr>
          <w:rFonts w:hint="eastAsia" w:ascii="CESI仿宋-GB2312" w:hAnsi="CESI仿宋-GB2312" w:eastAsia="CESI仿宋-GB2312" w:cs="CESI仿宋-GB2312"/>
          <w:b/>
          <w:bCs/>
          <w:sz w:val="32"/>
          <w:szCs w:val="32"/>
        </w:rPr>
        <w:t>：</w:t>
      </w:r>
      <w:r>
        <w:rPr>
          <w:rFonts w:hint="eastAsia" w:ascii="CESI仿宋-GB2312" w:hAnsi="CESI仿宋-GB2312" w:eastAsia="CESI仿宋-GB2312" w:cs="CESI仿宋-GB2312"/>
          <w:snapToGrid w:val="0"/>
          <w:sz w:val="32"/>
          <w:szCs w:val="32"/>
          <w:shd w:val="clear" w:color="auto" w:fill="FFFFFF"/>
        </w:rPr>
        <w:t>四川省人民政府科学城办事处不涉及部门统筹自有收入，该项指标得4分</w:t>
      </w:r>
      <w:r>
        <w:rPr>
          <w:rFonts w:hint="eastAsia" w:ascii="CESI仿宋-GB2312" w:hAnsi="CESI仿宋-GB2312" w:eastAsia="CESI仿宋-GB2312" w:cs="CESI仿宋-GB2312"/>
          <w:sz w:val="32"/>
          <w:szCs w:val="32"/>
        </w:rPr>
        <w:t>。</w:t>
      </w:r>
    </w:p>
    <w:p>
      <w:pPr>
        <w:pStyle w:val="2"/>
        <w:spacing w:line="560" w:lineRule="exact"/>
        <w:ind w:firstLine="640" w:firstLineChars="200"/>
        <w:jc w:val="both"/>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lang w:val="zh-CN"/>
        </w:rPr>
        <w:t>支出执行进度</w:t>
      </w:r>
      <w:r>
        <w:rPr>
          <w:rFonts w:hint="eastAsia" w:ascii="CESI仿宋-GB2312" w:hAnsi="CESI仿宋-GB2312" w:eastAsia="CESI仿宋-GB2312" w:cs="CESI仿宋-GB2312"/>
          <w:b/>
          <w:bCs/>
          <w:sz w:val="32"/>
          <w:szCs w:val="32"/>
        </w:rPr>
        <w:t>：</w:t>
      </w:r>
      <w:r>
        <w:rPr>
          <w:rFonts w:hint="eastAsia" w:ascii="CESI仿宋-GB2312" w:hAnsi="CESI仿宋-GB2312" w:eastAsia="CESI仿宋-GB2312" w:cs="CESI仿宋-GB2312"/>
          <w:snapToGrid w:val="0"/>
          <w:sz w:val="32"/>
          <w:szCs w:val="32"/>
          <w:shd w:val="clear" w:color="auto" w:fill="FFFFFF"/>
        </w:rPr>
        <w:t>四川省人民政府科学城办事处部门1至6月、1至10月预算执行情况分别</w:t>
      </w:r>
      <w:r>
        <w:rPr>
          <w:rFonts w:hint="eastAsia" w:ascii="CESI仿宋-GB2312" w:hAnsi="CESI仿宋-GB2312" w:eastAsia="CESI仿宋-GB2312" w:cs="CESI仿宋-GB2312"/>
          <w:snapToGrid w:val="0"/>
          <w:color w:val="auto"/>
          <w:sz w:val="32"/>
          <w:szCs w:val="32"/>
          <w:shd w:val="clear" w:color="auto" w:fill="FFFFFF"/>
        </w:rPr>
        <w:t>为</w:t>
      </w:r>
      <w:r>
        <w:rPr>
          <w:rFonts w:hint="eastAsia" w:ascii="CESI仿宋-GB2312" w:hAnsi="CESI仿宋-GB2312" w:eastAsia="CESI仿宋-GB2312" w:cs="CESI仿宋-GB2312"/>
          <w:snapToGrid w:val="0"/>
          <w:color w:val="auto"/>
          <w:sz w:val="32"/>
          <w:szCs w:val="32"/>
          <w:shd w:val="clear" w:color="auto" w:fill="FFFFFF"/>
          <w:lang w:val="en-US" w:eastAsia="zh-CN"/>
        </w:rPr>
        <w:t>49.6</w:t>
      </w:r>
      <w:r>
        <w:rPr>
          <w:rFonts w:hint="eastAsia" w:ascii="CESI仿宋-GB2312" w:hAnsi="CESI仿宋-GB2312" w:eastAsia="CESI仿宋-GB2312" w:cs="CESI仿宋-GB2312"/>
          <w:snapToGrid w:val="0"/>
          <w:color w:val="auto"/>
          <w:sz w:val="32"/>
          <w:szCs w:val="32"/>
          <w:shd w:val="clear" w:color="auto" w:fill="FFFFFF"/>
        </w:rPr>
        <w:t>%、</w:t>
      </w:r>
      <w:r>
        <w:rPr>
          <w:rFonts w:hint="eastAsia" w:ascii="CESI仿宋-GB2312" w:hAnsi="CESI仿宋-GB2312" w:eastAsia="CESI仿宋-GB2312" w:cs="CESI仿宋-GB2312"/>
          <w:snapToGrid w:val="0"/>
          <w:color w:val="auto"/>
          <w:sz w:val="32"/>
          <w:szCs w:val="32"/>
          <w:shd w:val="clear" w:color="auto" w:fill="FFFFFF"/>
          <w:lang w:val="en-US" w:eastAsia="zh-CN"/>
        </w:rPr>
        <w:t>78.6</w:t>
      </w:r>
      <w:r>
        <w:rPr>
          <w:rFonts w:hint="eastAsia" w:ascii="CESI仿宋-GB2312" w:hAnsi="CESI仿宋-GB2312" w:eastAsia="CESI仿宋-GB2312" w:cs="CESI仿宋-GB2312"/>
          <w:snapToGrid w:val="0"/>
          <w:color w:val="auto"/>
          <w:sz w:val="32"/>
          <w:szCs w:val="32"/>
          <w:shd w:val="clear" w:color="auto" w:fill="FFFFFF"/>
        </w:rPr>
        <w:t>%，该项指标得5.</w:t>
      </w:r>
      <w:r>
        <w:rPr>
          <w:rFonts w:hint="eastAsia" w:ascii="CESI仿宋-GB2312" w:hAnsi="CESI仿宋-GB2312" w:eastAsia="CESI仿宋-GB2312" w:cs="CESI仿宋-GB2312"/>
          <w:snapToGrid w:val="0"/>
          <w:color w:val="auto"/>
          <w:sz w:val="32"/>
          <w:szCs w:val="32"/>
          <w:shd w:val="clear" w:color="auto" w:fill="FFFFFF"/>
          <w:lang w:val="en-US" w:eastAsia="zh-CN"/>
        </w:rPr>
        <w:t>85</w:t>
      </w:r>
      <w:r>
        <w:rPr>
          <w:rFonts w:hint="eastAsia" w:ascii="CESI仿宋-GB2312" w:hAnsi="CESI仿宋-GB2312" w:eastAsia="CESI仿宋-GB2312" w:cs="CESI仿宋-GB2312"/>
          <w:snapToGrid w:val="0"/>
          <w:color w:val="auto"/>
          <w:sz w:val="32"/>
          <w:szCs w:val="32"/>
          <w:shd w:val="clear" w:color="auto" w:fill="FFFFFF"/>
        </w:rPr>
        <w:t>分。</w:t>
      </w:r>
    </w:p>
    <w:p>
      <w:pPr>
        <w:pStyle w:val="2"/>
        <w:spacing w:line="560" w:lineRule="exact"/>
        <w:ind w:firstLine="640" w:firstLineChars="200"/>
        <w:jc w:val="both"/>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lang w:val="zh-CN"/>
        </w:rPr>
        <w:t>预算年终结余</w:t>
      </w:r>
      <w:r>
        <w:rPr>
          <w:rFonts w:hint="eastAsia" w:ascii="CESI仿宋-GB2312" w:hAnsi="CESI仿宋-GB2312" w:eastAsia="CESI仿宋-GB2312" w:cs="CESI仿宋-GB2312"/>
          <w:b/>
          <w:bCs/>
          <w:sz w:val="32"/>
          <w:szCs w:val="32"/>
        </w:rPr>
        <w:t>：</w:t>
      </w:r>
      <w:r>
        <w:rPr>
          <w:rFonts w:hint="eastAsia" w:ascii="CESI仿宋-GB2312" w:hAnsi="CESI仿宋-GB2312" w:eastAsia="CESI仿宋-GB2312" w:cs="CESI仿宋-GB2312"/>
          <w:snapToGrid w:val="0"/>
          <w:sz w:val="32"/>
          <w:szCs w:val="32"/>
          <w:shd w:val="clear" w:color="auto" w:fill="FFFFFF"/>
        </w:rPr>
        <w:t>四川省人民政府科学城办事处部门整体年终预算无结余，该项指标得2分。</w:t>
      </w:r>
    </w:p>
    <w:p>
      <w:pPr>
        <w:pStyle w:val="2"/>
        <w:spacing w:line="560" w:lineRule="exact"/>
        <w:ind w:firstLine="640" w:firstLineChars="200"/>
        <w:jc w:val="both"/>
        <w:rPr>
          <w:rFonts w:hint="eastAsia" w:ascii="CESI仿宋-GB2312" w:hAnsi="CESI仿宋-GB2312" w:eastAsia="CESI仿宋-GB2312" w:cs="CESI仿宋-GB2312"/>
          <w:color w:val="auto"/>
          <w:sz w:val="32"/>
          <w:szCs w:val="32"/>
          <w:highlight w:val="yellow"/>
          <w:shd w:val="clear" w:color="auto" w:fill="FFFFFF"/>
          <w:lang w:val="zh-CN"/>
        </w:rPr>
      </w:pPr>
      <w:r>
        <w:rPr>
          <w:rFonts w:hint="eastAsia" w:ascii="CESI仿宋-GB2312" w:hAnsi="CESI仿宋-GB2312" w:eastAsia="CESI仿宋-GB2312" w:cs="CESI仿宋-GB2312"/>
          <w:b/>
          <w:bCs/>
          <w:sz w:val="32"/>
          <w:szCs w:val="32"/>
          <w:lang w:val="zh-CN"/>
        </w:rPr>
        <w:t>严控一般性支出</w:t>
      </w:r>
      <w:r>
        <w:rPr>
          <w:rFonts w:hint="eastAsia" w:ascii="CESI仿宋-GB2312" w:hAnsi="CESI仿宋-GB2312" w:eastAsia="CESI仿宋-GB2312" w:cs="CESI仿宋-GB2312"/>
          <w:b/>
          <w:bCs/>
          <w:sz w:val="32"/>
          <w:szCs w:val="32"/>
        </w:rPr>
        <w:t>：</w:t>
      </w:r>
      <w:r>
        <w:rPr>
          <w:rFonts w:hint="eastAsia" w:ascii="CESI仿宋-GB2312" w:hAnsi="CESI仿宋-GB2312" w:eastAsia="CESI仿宋-GB2312" w:cs="CESI仿宋-GB2312"/>
          <w:snapToGrid w:val="0"/>
          <w:color w:val="auto"/>
          <w:sz w:val="32"/>
          <w:szCs w:val="32"/>
          <w:shd w:val="clear" w:color="auto" w:fill="FFFFFF"/>
        </w:rPr>
        <w:t>四川省人民政府科学城办事处“三公”经费合计</w:t>
      </w:r>
      <w:r>
        <w:rPr>
          <w:rFonts w:hint="eastAsia" w:ascii="CESI仿宋-GB2312" w:hAnsi="CESI仿宋-GB2312" w:eastAsia="CESI仿宋-GB2312" w:cs="CESI仿宋-GB2312"/>
          <w:snapToGrid/>
          <w:color w:val="auto"/>
          <w:sz w:val="32"/>
          <w:szCs w:val="32"/>
          <w:shd w:val="clear" w:color="auto" w:fill="auto"/>
          <w:lang w:eastAsia="zh-CN"/>
        </w:rPr>
        <w:t>8</w:t>
      </w:r>
      <w:r>
        <w:rPr>
          <w:rFonts w:hint="eastAsia" w:ascii="CESI仿宋-GB2312" w:hAnsi="CESI仿宋-GB2312" w:eastAsia="CESI仿宋-GB2312" w:cs="CESI仿宋-GB2312"/>
          <w:snapToGrid/>
          <w:color w:val="auto"/>
          <w:sz w:val="32"/>
          <w:szCs w:val="32"/>
          <w:shd w:val="clear" w:color="auto" w:fill="auto"/>
          <w:lang w:val="en-US" w:eastAsia="zh-CN"/>
        </w:rPr>
        <w:t>4.02</w:t>
      </w:r>
      <w:r>
        <w:rPr>
          <w:rFonts w:hint="eastAsia" w:ascii="CESI仿宋-GB2312" w:hAnsi="CESI仿宋-GB2312" w:eastAsia="CESI仿宋-GB2312" w:cs="CESI仿宋-GB2312"/>
          <w:snapToGrid w:val="0"/>
          <w:color w:val="auto"/>
          <w:sz w:val="32"/>
          <w:szCs w:val="32"/>
          <w:shd w:val="clear" w:color="auto" w:fill="FFFFFF"/>
        </w:rPr>
        <w:t>万元：其中因公出国（境）费年初无预算。</w:t>
      </w:r>
      <w:r>
        <w:rPr>
          <w:rFonts w:hint="eastAsia" w:ascii="CESI仿宋-GB2312" w:hAnsi="CESI仿宋-GB2312" w:eastAsia="CESI仿宋-GB2312" w:cs="CESI仿宋-GB2312"/>
          <w:color w:val="auto"/>
          <w:sz w:val="32"/>
          <w:szCs w:val="32"/>
        </w:rPr>
        <w:t>公务用车运行维护方面，202</w:t>
      </w:r>
      <w:r>
        <w:rPr>
          <w:rFonts w:hint="eastAsia" w:ascii="CESI仿宋-GB2312" w:hAnsi="CESI仿宋-GB2312" w:eastAsia="CESI仿宋-GB2312" w:cs="CESI仿宋-GB2312"/>
          <w:color w:val="auto"/>
          <w:sz w:val="32"/>
          <w:szCs w:val="32"/>
          <w:lang w:eastAsia="zh-CN"/>
        </w:rPr>
        <w:t>5</w:t>
      </w:r>
      <w:r>
        <w:rPr>
          <w:rFonts w:hint="eastAsia" w:ascii="CESI仿宋-GB2312" w:hAnsi="CESI仿宋-GB2312" w:eastAsia="CESI仿宋-GB2312" w:cs="CESI仿宋-GB2312"/>
          <w:color w:val="auto"/>
          <w:sz w:val="32"/>
          <w:szCs w:val="32"/>
        </w:rPr>
        <w:t>年年初预算金额97</w:t>
      </w:r>
      <w:r>
        <w:rPr>
          <w:rFonts w:hint="eastAsia" w:ascii="CESI仿宋-GB2312" w:hAnsi="CESI仿宋-GB2312" w:eastAsia="CESI仿宋-GB2312" w:cs="CESI仿宋-GB2312"/>
          <w:color w:val="auto"/>
          <w:sz w:val="32"/>
          <w:szCs w:val="32"/>
          <w:lang w:val="en-US" w:eastAsia="zh-CN"/>
        </w:rPr>
        <w:t>.00</w:t>
      </w:r>
      <w:r>
        <w:rPr>
          <w:rFonts w:hint="eastAsia" w:ascii="CESI仿宋-GB2312" w:hAnsi="CESI仿宋-GB2312" w:eastAsia="CESI仿宋-GB2312" w:cs="CESI仿宋-GB2312"/>
          <w:color w:val="auto"/>
          <w:sz w:val="32"/>
          <w:szCs w:val="32"/>
        </w:rPr>
        <w:t>万元，与上年无差异；本年决算金额</w:t>
      </w:r>
      <w:r>
        <w:rPr>
          <w:rFonts w:hint="eastAsia" w:ascii="CESI仿宋-GB2312" w:hAnsi="CESI仿宋-GB2312" w:eastAsia="CESI仿宋-GB2312" w:cs="CESI仿宋-GB2312"/>
          <w:color w:val="auto"/>
          <w:sz w:val="32"/>
          <w:szCs w:val="32"/>
          <w:lang w:eastAsia="zh-CN"/>
        </w:rPr>
        <w:t>8</w:t>
      </w:r>
      <w:r>
        <w:rPr>
          <w:rFonts w:hint="eastAsia" w:ascii="CESI仿宋-GB2312" w:hAnsi="CESI仿宋-GB2312" w:eastAsia="CESI仿宋-GB2312" w:cs="CESI仿宋-GB2312"/>
          <w:color w:val="auto"/>
          <w:sz w:val="32"/>
          <w:szCs w:val="32"/>
          <w:lang w:val="en-US" w:eastAsia="zh-CN"/>
        </w:rPr>
        <w:t>3.24</w:t>
      </w:r>
      <w:r>
        <w:rPr>
          <w:rFonts w:hint="eastAsia" w:ascii="CESI仿宋-GB2312" w:hAnsi="CESI仿宋-GB2312" w:eastAsia="CESI仿宋-GB2312" w:cs="CESI仿宋-GB2312"/>
          <w:color w:val="auto"/>
          <w:sz w:val="32"/>
          <w:szCs w:val="32"/>
        </w:rPr>
        <w:t>万元，较</w:t>
      </w:r>
      <w:r>
        <w:rPr>
          <w:rFonts w:hint="eastAsia" w:ascii="CESI仿宋-GB2312" w:hAnsi="CESI仿宋-GB2312" w:eastAsia="CESI仿宋-GB2312" w:cs="CESI仿宋-GB2312"/>
          <w:color w:val="auto"/>
          <w:sz w:val="32"/>
          <w:szCs w:val="32"/>
          <w:lang w:eastAsia="zh-CN"/>
        </w:rPr>
        <w:t>上</w:t>
      </w:r>
      <w:r>
        <w:rPr>
          <w:rFonts w:hint="eastAsia" w:ascii="CESI仿宋-GB2312" w:hAnsi="CESI仿宋-GB2312" w:eastAsia="CESI仿宋-GB2312" w:cs="CESI仿宋-GB2312"/>
          <w:color w:val="auto"/>
          <w:sz w:val="32"/>
          <w:szCs w:val="32"/>
        </w:rPr>
        <w:t>年决算金额减少</w:t>
      </w:r>
      <w:r>
        <w:rPr>
          <w:rFonts w:hint="eastAsia" w:ascii="CESI仿宋-GB2312" w:hAnsi="CESI仿宋-GB2312" w:eastAsia="CESI仿宋-GB2312" w:cs="CESI仿宋-GB2312"/>
          <w:color w:val="auto"/>
          <w:sz w:val="32"/>
          <w:szCs w:val="32"/>
          <w:lang w:eastAsia="zh-CN"/>
        </w:rPr>
        <w:t>1</w:t>
      </w:r>
      <w:r>
        <w:rPr>
          <w:rFonts w:hint="eastAsia" w:ascii="CESI仿宋-GB2312" w:hAnsi="CESI仿宋-GB2312" w:eastAsia="CESI仿宋-GB2312" w:cs="CESI仿宋-GB2312"/>
          <w:color w:val="auto"/>
          <w:sz w:val="32"/>
          <w:szCs w:val="32"/>
          <w:lang w:val="en-US" w:eastAsia="zh-CN"/>
        </w:rPr>
        <w:t>3.76</w:t>
      </w:r>
      <w:r>
        <w:rPr>
          <w:rFonts w:hint="eastAsia" w:ascii="CESI仿宋-GB2312" w:hAnsi="CESI仿宋-GB2312" w:eastAsia="CESI仿宋-GB2312" w:cs="CESI仿宋-GB2312"/>
          <w:color w:val="auto"/>
          <w:sz w:val="32"/>
          <w:szCs w:val="32"/>
        </w:rPr>
        <w:t>万元。</w:t>
      </w:r>
      <w:r>
        <w:rPr>
          <w:rFonts w:hint="eastAsia" w:ascii="CESI仿宋-GB2312" w:hAnsi="CESI仿宋-GB2312" w:eastAsia="CESI仿宋-GB2312" w:cs="CESI仿宋-GB2312"/>
          <w:bCs/>
          <w:color w:val="auto"/>
          <w:sz w:val="32"/>
          <w:szCs w:val="32"/>
        </w:rPr>
        <w:t>公务接待费202</w:t>
      </w:r>
      <w:r>
        <w:rPr>
          <w:rFonts w:hint="eastAsia" w:ascii="CESI仿宋-GB2312" w:hAnsi="CESI仿宋-GB2312" w:eastAsia="CESI仿宋-GB2312" w:cs="CESI仿宋-GB2312"/>
          <w:bCs/>
          <w:color w:val="auto"/>
          <w:sz w:val="32"/>
          <w:szCs w:val="32"/>
          <w:lang w:eastAsia="zh-CN"/>
        </w:rPr>
        <w:t>5</w:t>
      </w:r>
      <w:r>
        <w:rPr>
          <w:rFonts w:hint="eastAsia" w:ascii="CESI仿宋-GB2312" w:hAnsi="CESI仿宋-GB2312" w:eastAsia="CESI仿宋-GB2312" w:cs="CESI仿宋-GB2312"/>
          <w:color w:val="auto"/>
          <w:sz w:val="32"/>
          <w:szCs w:val="32"/>
        </w:rPr>
        <w:t>年预算金额为</w:t>
      </w:r>
      <w:r>
        <w:rPr>
          <w:rFonts w:hint="eastAsia" w:ascii="CESI仿宋-GB2312" w:hAnsi="CESI仿宋-GB2312" w:eastAsia="CESI仿宋-GB2312" w:cs="CESI仿宋-GB2312"/>
          <w:color w:val="auto"/>
          <w:sz w:val="32"/>
          <w:szCs w:val="32"/>
          <w:lang w:eastAsia="zh-CN"/>
        </w:rPr>
        <w:t>1</w:t>
      </w:r>
      <w:r>
        <w:rPr>
          <w:rFonts w:hint="eastAsia" w:ascii="CESI仿宋-GB2312" w:hAnsi="CESI仿宋-GB2312" w:eastAsia="CESI仿宋-GB2312" w:cs="CESI仿宋-GB2312"/>
          <w:color w:val="auto"/>
          <w:sz w:val="32"/>
          <w:szCs w:val="32"/>
          <w:lang w:val="en-US" w:eastAsia="zh-CN"/>
        </w:rPr>
        <w:t>.00</w:t>
      </w:r>
      <w:r>
        <w:rPr>
          <w:rFonts w:hint="eastAsia" w:ascii="CESI仿宋-GB2312" w:hAnsi="CESI仿宋-GB2312" w:eastAsia="CESI仿宋-GB2312" w:cs="CESI仿宋-GB2312"/>
          <w:color w:val="auto"/>
          <w:sz w:val="32"/>
          <w:szCs w:val="32"/>
        </w:rPr>
        <w:t>万元，</w:t>
      </w:r>
      <w:r>
        <w:rPr>
          <w:rFonts w:hint="eastAsia" w:ascii="CESI仿宋-GB2312" w:hAnsi="CESI仿宋-GB2312" w:eastAsia="CESI仿宋-GB2312" w:cs="CESI仿宋-GB2312"/>
          <w:color w:val="auto"/>
          <w:sz w:val="32"/>
          <w:szCs w:val="32"/>
          <w:lang w:eastAsia="zh-CN"/>
        </w:rPr>
        <w:t>较</w:t>
      </w:r>
      <w:r>
        <w:rPr>
          <w:rFonts w:hint="eastAsia" w:ascii="CESI仿宋-GB2312" w:hAnsi="CESI仿宋-GB2312" w:eastAsia="CESI仿宋-GB2312" w:cs="CESI仿宋-GB2312"/>
          <w:color w:val="auto"/>
          <w:sz w:val="32"/>
          <w:szCs w:val="32"/>
          <w:lang w:val="en-US" w:eastAsia="zh-CN"/>
        </w:rPr>
        <w:t>上</w:t>
      </w:r>
      <w:r>
        <w:rPr>
          <w:rFonts w:hint="eastAsia" w:ascii="CESI仿宋-GB2312" w:hAnsi="CESI仿宋-GB2312" w:eastAsia="CESI仿宋-GB2312" w:cs="CESI仿宋-GB2312"/>
          <w:color w:val="auto"/>
          <w:sz w:val="32"/>
          <w:szCs w:val="32"/>
          <w:lang w:eastAsia="zh-CN"/>
        </w:rPr>
        <w:t>年减少</w:t>
      </w:r>
      <w:r>
        <w:rPr>
          <w:rFonts w:hint="eastAsia" w:ascii="CESI仿宋-GB2312" w:hAnsi="CESI仿宋-GB2312" w:eastAsia="CESI仿宋-GB2312" w:cs="CESI仿宋-GB2312"/>
          <w:color w:val="auto"/>
          <w:sz w:val="32"/>
          <w:szCs w:val="32"/>
          <w:lang w:val="en-US" w:eastAsia="zh-CN"/>
        </w:rPr>
        <w:t>0.60万元</w:t>
      </w:r>
      <w:r>
        <w:rPr>
          <w:rFonts w:hint="eastAsia" w:ascii="CESI仿宋-GB2312" w:hAnsi="CESI仿宋-GB2312" w:eastAsia="CESI仿宋-GB2312" w:cs="CESI仿宋-GB2312"/>
          <w:color w:val="auto"/>
          <w:sz w:val="32"/>
          <w:szCs w:val="32"/>
          <w:lang w:eastAsia="zh-CN"/>
        </w:rPr>
        <w:t>；</w:t>
      </w:r>
      <w:r>
        <w:rPr>
          <w:rFonts w:hint="eastAsia" w:ascii="CESI仿宋-GB2312" w:hAnsi="CESI仿宋-GB2312" w:eastAsia="CESI仿宋-GB2312" w:cs="CESI仿宋-GB2312"/>
          <w:color w:val="auto"/>
          <w:sz w:val="32"/>
          <w:szCs w:val="32"/>
        </w:rPr>
        <w:t>本年决算金额</w:t>
      </w:r>
      <w:r>
        <w:rPr>
          <w:rFonts w:hint="eastAsia" w:ascii="CESI仿宋-GB2312" w:hAnsi="CESI仿宋-GB2312" w:eastAsia="CESI仿宋-GB2312" w:cs="CESI仿宋-GB2312"/>
          <w:color w:val="auto"/>
          <w:sz w:val="32"/>
          <w:szCs w:val="32"/>
          <w:lang w:eastAsia="zh-CN"/>
        </w:rPr>
        <w:t>0</w:t>
      </w:r>
      <w:r>
        <w:rPr>
          <w:rFonts w:hint="eastAsia" w:ascii="CESI仿宋-GB2312" w:hAnsi="CESI仿宋-GB2312" w:eastAsia="CESI仿宋-GB2312" w:cs="CESI仿宋-GB2312"/>
          <w:color w:val="auto"/>
          <w:sz w:val="32"/>
          <w:szCs w:val="32"/>
          <w:lang w:val="en-US" w:eastAsia="zh-CN"/>
        </w:rPr>
        <w:t>.7</w:t>
      </w:r>
      <w:r>
        <w:rPr>
          <w:rFonts w:hint="eastAsia" w:ascii="CESI仿宋-GB2312" w:hAnsi="CESI仿宋-GB2312" w:eastAsia="CESI仿宋-GB2312" w:cs="CESI仿宋-GB2312"/>
          <w:color w:val="auto"/>
          <w:sz w:val="32"/>
          <w:szCs w:val="32"/>
        </w:rPr>
        <w:t>8万元，较上年决算金额减少0.</w:t>
      </w:r>
      <w:r>
        <w:rPr>
          <w:rFonts w:hint="eastAsia" w:ascii="CESI仿宋-GB2312" w:hAnsi="CESI仿宋-GB2312" w:eastAsia="CESI仿宋-GB2312" w:cs="CESI仿宋-GB2312"/>
          <w:color w:val="auto"/>
          <w:sz w:val="32"/>
          <w:szCs w:val="32"/>
          <w:lang w:eastAsia="zh-CN"/>
        </w:rPr>
        <w:t>7</w:t>
      </w:r>
      <w:r>
        <w:rPr>
          <w:rFonts w:hint="eastAsia" w:ascii="CESI仿宋-GB2312" w:hAnsi="CESI仿宋-GB2312" w:eastAsia="CESI仿宋-GB2312" w:cs="CESI仿宋-GB2312"/>
          <w:color w:val="auto"/>
          <w:sz w:val="32"/>
          <w:szCs w:val="32"/>
          <w:lang w:val="en-US" w:eastAsia="zh-CN"/>
        </w:rPr>
        <w:t>1</w:t>
      </w:r>
      <w:r>
        <w:rPr>
          <w:rFonts w:hint="eastAsia" w:ascii="CESI仿宋-GB2312" w:hAnsi="CESI仿宋-GB2312" w:eastAsia="CESI仿宋-GB2312" w:cs="CESI仿宋-GB2312"/>
          <w:color w:val="auto"/>
          <w:sz w:val="32"/>
          <w:szCs w:val="32"/>
        </w:rPr>
        <w:t>万元；国内接待</w:t>
      </w:r>
      <w:r>
        <w:rPr>
          <w:rFonts w:hint="eastAsia" w:ascii="CESI仿宋-GB2312" w:hAnsi="CESI仿宋-GB2312" w:eastAsia="CESI仿宋-GB2312" w:cs="CESI仿宋-GB2312"/>
          <w:color w:val="auto"/>
          <w:sz w:val="32"/>
          <w:szCs w:val="32"/>
          <w:lang w:eastAsia="zh-CN"/>
        </w:rPr>
        <w:t>8</w:t>
      </w:r>
      <w:r>
        <w:rPr>
          <w:rFonts w:hint="eastAsia" w:ascii="CESI仿宋-GB2312" w:hAnsi="CESI仿宋-GB2312" w:eastAsia="CESI仿宋-GB2312" w:cs="CESI仿宋-GB2312"/>
          <w:color w:val="auto"/>
          <w:sz w:val="32"/>
          <w:szCs w:val="32"/>
        </w:rPr>
        <w:t>批次，</w:t>
      </w:r>
      <w:r>
        <w:rPr>
          <w:rFonts w:hint="eastAsia" w:ascii="CESI仿宋-GB2312" w:hAnsi="CESI仿宋-GB2312" w:eastAsia="CESI仿宋-GB2312" w:cs="CESI仿宋-GB2312"/>
          <w:color w:val="auto"/>
          <w:sz w:val="32"/>
          <w:szCs w:val="32"/>
          <w:lang w:eastAsia="zh-CN"/>
        </w:rPr>
        <w:t>4</w:t>
      </w:r>
      <w:r>
        <w:rPr>
          <w:rFonts w:hint="eastAsia" w:ascii="CESI仿宋-GB2312" w:hAnsi="CESI仿宋-GB2312" w:eastAsia="CESI仿宋-GB2312" w:cs="CESI仿宋-GB2312"/>
          <w:color w:val="auto"/>
          <w:sz w:val="32"/>
          <w:szCs w:val="32"/>
          <w:lang w:val="en-US" w:eastAsia="zh-CN"/>
        </w:rPr>
        <w:t>2</w:t>
      </w:r>
      <w:r>
        <w:rPr>
          <w:rFonts w:hint="eastAsia" w:ascii="CESI仿宋-GB2312" w:hAnsi="CESI仿宋-GB2312" w:eastAsia="CESI仿宋-GB2312" w:cs="CESI仿宋-GB2312"/>
          <w:color w:val="auto"/>
          <w:sz w:val="32"/>
          <w:szCs w:val="32"/>
        </w:rPr>
        <w:t>人。会议费202</w:t>
      </w:r>
      <w:r>
        <w:rPr>
          <w:rFonts w:hint="eastAsia" w:ascii="CESI仿宋-GB2312" w:hAnsi="CESI仿宋-GB2312" w:eastAsia="CESI仿宋-GB2312" w:cs="CESI仿宋-GB2312"/>
          <w:color w:val="auto"/>
          <w:sz w:val="32"/>
          <w:szCs w:val="32"/>
          <w:lang w:eastAsia="zh-CN"/>
        </w:rPr>
        <w:t>5</w:t>
      </w:r>
      <w:r>
        <w:rPr>
          <w:rFonts w:hint="eastAsia" w:ascii="CESI仿宋-GB2312" w:hAnsi="CESI仿宋-GB2312" w:eastAsia="CESI仿宋-GB2312" w:cs="CESI仿宋-GB2312"/>
          <w:color w:val="auto"/>
          <w:sz w:val="32"/>
          <w:szCs w:val="32"/>
        </w:rPr>
        <w:t>年决算金额为2.00万元，</w:t>
      </w:r>
      <w:r>
        <w:rPr>
          <w:rFonts w:hint="eastAsia" w:ascii="CESI仿宋-GB2312" w:hAnsi="CESI仿宋-GB2312" w:eastAsia="CESI仿宋-GB2312" w:cs="CESI仿宋-GB2312"/>
          <w:color w:val="auto"/>
          <w:sz w:val="32"/>
          <w:szCs w:val="32"/>
          <w:lang w:eastAsia="zh-CN"/>
        </w:rPr>
        <w:t>与上</w:t>
      </w:r>
      <w:r>
        <w:rPr>
          <w:rFonts w:hint="eastAsia" w:ascii="CESI仿宋-GB2312" w:hAnsi="CESI仿宋-GB2312" w:eastAsia="CESI仿宋-GB2312" w:cs="CESI仿宋-GB2312"/>
          <w:color w:val="auto"/>
          <w:sz w:val="32"/>
          <w:szCs w:val="32"/>
        </w:rPr>
        <w:t>年决算金额</w:t>
      </w:r>
      <w:r>
        <w:rPr>
          <w:rFonts w:hint="eastAsia" w:ascii="CESI仿宋-GB2312" w:hAnsi="CESI仿宋-GB2312" w:eastAsia="CESI仿宋-GB2312" w:cs="CESI仿宋-GB2312"/>
          <w:color w:val="auto"/>
          <w:sz w:val="32"/>
          <w:szCs w:val="32"/>
          <w:lang w:eastAsia="zh-CN"/>
        </w:rPr>
        <w:t>持平</w:t>
      </w:r>
      <w:r>
        <w:rPr>
          <w:rFonts w:hint="eastAsia" w:ascii="CESI仿宋-GB2312" w:hAnsi="CESI仿宋-GB2312" w:eastAsia="CESI仿宋-GB2312" w:cs="CESI仿宋-GB2312"/>
          <w:snapToGrid w:val="0"/>
          <w:color w:val="auto"/>
          <w:sz w:val="32"/>
          <w:szCs w:val="32"/>
          <w:shd w:val="clear" w:color="auto" w:fill="FFFFFF"/>
        </w:rPr>
        <w:t>。</w:t>
      </w:r>
      <w:r>
        <w:rPr>
          <w:rFonts w:hint="eastAsia" w:ascii="CESI仿宋-GB2312" w:hAnsi="CESI仿宋-GB2312" w:eastAsia="CESI仿宋-GB2312" w:cs="CESI仿宋-GB2312"/>
          <w:color w:val="auto"/>
          <w:sz w:val="32"/>
          <w:szCs w:val="32"/>
        </w:rPr>
        <w:t>培训费202</w:t>
      </w:r>
      <w:r>
        <w:rPr>
          <w:rFonts w:hint="eastAsia" w:ascii="CESI仿宋-GB2312" w:hAnsi="CESI仿宋-GB2312" w:eastAsia="CESI仿宋-GB2312" w:cs="CESI仿宋-GB2312"/>
          <w:color w:val="auto"/>
          <w:sz w:val="32"/>
          <w:szCs w:val="32"/>
          <w:lang w:eastAsia="zh-CN"/>
        </w:rPr>
        <w:t>5</w:t>
      </w:r>
      <w:r>
        <w:rPr>
          <w:rFonts w:hint="eastAsia" w:ascii="CESI仿宋-GB2312" w:hAnsi="CESI仿宋-GB2312" w:eastAsia="CESI仿宋-GB2312" w:cs="CESI仿宋-GB2312"/>
          <w:color w:val="auto"/>
          <w:sz w:val="32"/>
          <w:szCs w:val="32"/>
        </w:rPr>
        <w:t>年决算金额为20.00万元，与202</w:t>
      </w:r>
      <w:r>
        <w:rPr>
          <w:rFonts w:hint="eastAsia" w:ascii="CESI仿宋-GB2312" w:hAnsi="CESI仿宋-GB2312" w:eastAsia="CESI仿宋-GB2312" w:cs="CESI仿宋-GB2312"/>
          <w:color w:val="auto"/>
          <w:sz w:val="32"/>
          <w:szCs w:val="32"/>
          <w:lang w:eastAsia="zh-CN"/>
        </w:rPr>
        <w:t>4</w:t>
      </w:r>
      <w:r>
        <w:rPr>
          <w:rFonts w:hint="eastAsia" w:ascii="CESI仿宋-GB2312" w:hAnsi="CESI仿宋-GB2312" w:eastAsia="CESI仿宋-GB2312" w:cs="CESI仿宋-GB2312"/>
          <w:color w:val="auto"/>
          <w:sz w:val="32"/>
          <w:szCs w:val="32"/>
        </w:rPr>
        <w:t>年决算金额持平。</w:t>
      </w:r>
      <w:r>
        <w:rPr>
          <w:rFonts w:hint="eastAsia" w:ascii="CESI仿宋-GB2312" w:hAnsi="CESI仿宋-GB2312" w:eastAsia="CESI仿宋-GB2312" w:cs="CESI仿宋-GB2312"/>
          <w:bCs/>
          <w:color w:val="auto"/>
          <w:sz w:val="32"/>
          <w:szCs w:val="32"/>
        </w:rPr>
        <w:t>差旅费202</w:t>
      </w:r>
      <w:r>
        <w:rPr>
          <w:rFonts w:hint="eastAsia" w:ascii="CESI仿宋-GB2312" w:hAnsi="CESI仿宋-GB2312" w:eastAsia="CESI仿宋-GB2312" w:cs="CESI仿宋-GB2312"/>
          <w:bCs/>
          <w:color w:val="auto"/>
          <w:sz w:val="32"/>
          <w:szCs w:val="32"/>
          <w:lang w:eastAsia="zh-CN"/>
        </w:rPr>
        <w:t>5</w:t>
      </w:r>
      <w:r>
        <w:rPr>
          <w:rFonts w:hint="eastAsia" w:ascii="CESI仿宋-GB2312" w:hAnsi="CESI仿宋-GB2312" w:eastAsia="CESI仿宋-GB2312" w:cs="CESI仿宋-GB2312"/>
          <w:bCs/>
          <w:color w:val="auto"/>
          <w:sz w:val="32"/>
          <w:szCs w:val="32"/>
        </w:rPr>
        <w:t>年</w:t>
      </w:r>
      <w:r>
        <w:rPr>
          <w:rFonts w:hint="eastAsia" w:ascii="CESI仿宋-GB2312" w:hAnsi="CESI仿宋-GB2312" w:eastAsia="CESI仿宋-GB2312" w:cs="CESI仿宋-GB2312"/>
          <w:bCs/>
          <w:color w:val="auto"/>
          <w:sz w:val="32"/>
          <w:szCs w:val="32"/>
          <w:lang w:eastAsia="zh-CN"/>
        </w:rPr>
        <w:t>决算</w:t>
      </w:r>
      <w:r>
        <w:rPr>
          <w:rFonts w:hint="eastAsia" w:ascii="CESI仿宋-GB2312" w:hAnsi="CESI仿宋-GB2312" w:eastAsia="CESI仿宋-GB2312" w:cs="CESI仿宋-GB2312"/>
          <w:bCs/>
          <w:color w:val="auto"/>
          <w:sz w:val="32"/>
          <w:szCs w:val="32"/>
        </w:rPr>
        <w:t>金额</w:t>
      </w:r>
      <w:r>
        <w:rPr>
          <w:rFonts w:hint="eastAsia" w:ascii="CESI仿宋-GB2312" w:hAnsi="CESI仿宋-GB2312" w:eastAsia="CESI仿宋-GB2312" w:cs="CESI仿宋-GB2312"/>
          <w:bCs/>
          <w:color w:val="auto"/>
          <w:sz w:val="32"/>
          <w:szCs w:val="32"/>
          <w:lang w:eastAsia="zh-CN"/>
        </w:rPr>
        <w:t>1</w:t>
      </w:r>
      <w:r>
        <w:rPr>
          <w:rFonts w:hint="eastAsia" w:ascii="CESI仿宋-GB2312" w:hAnsi="CESI仿宋-GB2312" w:eastAsia="CESI仿宋-GB2312" w:cs="CESI仿宋-GB2312"/>
          <w:bCs/>
          <w:color w:val="auto"/>
          <w:sz w:val="32"/>
          <w:szCs w:val="32"/>
          <w:lang w:val="en-US" w:eastAsia="zh-CN"/>
        </w:rPr>
        <w:t>26.00</w:t>
      </w:r>
      <w:r>
        <w:rPr>
          <w:rFonts w:hint="eastAsia" w:ascii="CESI仿宋-GB2312" w:hAnsi="CESI仿宋-GB2312" w:eastAsia="CESI仿宋-GB2312" w:cs="CESI仿宋-GB2312"/>
          <w:bCs/>
          <w:color w:val="auto"/>
          <w:sz w:val="32"/>
          <w:szCs w:val="32"/>
        </w:rPr>
        <w:t>万元，较</w:t>
      </w:r>
      <w:r>
        <w:rPr>
          <w:rFonts w:hint="eastAsia" w:ascii="CESI仿宋-GB2312" w:hAnsi="CESI仿宋-GB2312" w:eastAsia="CESI仿宋-GB2312" w:cs="CESI仿宋-GB2312"/>
          <w:bCs/>
          <w:color w:val="auto"/>
          <w:sz w:val="32"/>
          <w:szCs w:val="32"/>
          <w:lang w:eastAsia="zh-CN"/>
        </w:rPr>
        <w:t>上</w:t>
      </w:r>
      <w:r>
        <w:rPr>
          <w:rFonts w:hint="eastAsia" w:ascii="CESI仿宋-GB2312" w:hAnsi="CESI仿宋-GB2312" w:eastAsia="CESI仿宋-GB2312" w:cs="CESI仿宋-GB2312"/>
          <w:bCs/>
          <w:color w:val="auto"/>
          <w:sz w:val="32"/>
          <w:szCs w:val="32"/>
        </w:rPr>
        <w:t>年</w:t>
      </w:r>
      <w:r>
        <w:rPr>
          <w:rFonts w:hint="eastAsia" w:ascii="CESI仿宋-GB2312" w:hAnsi="CESI仿宋-GB2312" w:eastAsia="CESI仿宋-GB2312" w:cs="CESI仿宋-GB2312"/>
          <w:bCs/>
          <w:color w:val="auto"/>
          <w:sz w:val="32"/>
          <w:szCs w:val="32"/>
          <w:lang w:eastAsia="zh-CN"/>
        </w:rPr>
        <w:t>增加</w:t>
      </w:r>
      <w:r>
        <w:rPr>
          <w:rFonts w:hint="eastAsia" w:ascii="CESI仿宋-GB2312" w:hAnsi="CESI仿宋-GB2312" w:eastAsia="CESI仿宋-GB2312" w:cs="CESI仿宋-GB2312"/>
          <w:bCs/>
          <w:color w:val="auto"/>
          <w:sz w:val="32"/>
          <w:szCs w:val="32"/>
          <w:lang w:val="en-US" w:eastAsia="zh-CN"/>
        </w:rPr>
        <w:t>27.60</w:t>
      </w:r>
      <w:r>
        <w:rPr>
          <w:rFonts w:hint="eastAsia" w:ascii="CESI仿宋-GB2312" w:hAnsi="CESI仿宋-GB2312" w:eastAsia="CESI仿宋-GB2312" w:cs="CESI仿宋-GB2312"/>
          <w:bCs/>
          <w:color w:val="auto"/>
          <w:sz w:val="32"/>
          <w:szCs w:val="32"/>
        </w:rPr>
        <w:t>万元</w:t>
      </w:r>
      <w:r>
        <w:rPr>
          <w:rFonts w:hint="eastAsia" w:ascii="CESI仿宋-GB2312" w:hAnsi="CESI仿宋-GB2312" w:eastAsia="CESI仿宋-GB2312" w:cs="CESI仿宋-GB2312"/>
          <w:bCs/>
          <w:color w:val="auto"/>
          <w:sz w:val="32"/>
          <w:szCs w:val="32"/>
          <w:lang w:eastAsia="zh-CN"/>
        </w:rPr>
        <w:t>。</w:t>
      </w:r>
      <w:r>
        <w:rPr>
          <w:rFonts w:hint="eastAsia" w:ascii="CESI仿宋-GB2312" w:hAnsi="CESI仿宋-GB2312" w:eastAsia="CESI仿宋-GB2312" w:cs="CESI仿宋-GB2312"/>
          <w:bCs/>
          <w:color w:val="auto"/>
          <w:sz w:val="32"/>
          <w:szCs w:val="32"/>
        </w:rPr>
        <w:t>主要用于在职人员因公出差发生的交通费和住宿费。</w:t>
      </w:r>
      <w:r>
        <w:rPr>
          <w:rFonts w:hint="eastAsia" w:ascii="CESI仿宋-GB2312" w:hAnsi="CESI仿宋-GB2312" w:eastAsia="CESI仿宋-GB2312" w:cs="CESI仿宋-GB2312"/>
          <w:snapToGrid w:val="0"/>
          <w:color w:val="auto"/>
          <w:sz w:val="32"/>
          <w:szCs w:val="32"/>
          <w:shd w:val="clear" w:color="auto" w:fill="FFFFFF"/>
        </w:rPr>
        <w:t>办节办展费、办公设备购置、信息网络及软件购置更新、课题经费等四项不涉及，该项指标得5分。</w:t>
      </w:r>
    </w:p>
    <w:p>
      <w:pPr>
        <w:pStyle w:val="2"/>
        <w:spacing w:line="560" w:lineRule="exact"/>
        <w:ind w:firstLine="640" w:firstLineChars="200"/>
        <w:jc w:val="both"/>
        <w:rPr>
          <w:rFonts w:hint="eastAsia" w:ascii="CESI仿宋-GB2312" w:hAnsi="CESI仿宋-GB2312" w:eastAsia="CESI仿宋-GB2312" w:cs="CESI仿宋-GB2312"/>
          <w:sz w:val="32"/>
          <w:szCs w:val="32"/>
          <w:lang w:val="zh-CN"/>
        </w:rPr>
      </w:pPr>
      <w:r>
        <w:rPr>
          <w:rFonts w:hint="eastAsia" w:ascii="CESI仿宋-GB2312" w:hAnsi="CESI仿宋-GB2312" w:eastAsia="CESI仿宋-GB2312" w:cs="CESI仿宋-GB2312"/>
          <w:sz w:val="32"/>
          <w:szCs w:val="32"/>
          <w:shd w:val="clear" w:color="auto" w:fill="FFFFFF"/>
        </w:rPr>
        <w:t>3.</w:t>
      </w:r>
      <w:r>
        <w:rPr>
          <w:rFonts w:hint="eastAsia" w:ascii="CESI仿宋-GB2312" w:hAnsi="CESI仿宋-GB2312" w:eastAsia="CESI仿宋-GB2312" w:cs="CESI仿宋-GB2312"/>
          <w:sz w:val="32"/>
          <w:szCs w:val="32"/>
          <w:shd w:val="clear" w:color="auto" w:fill="FFFFFF"/>
          <w:lang w:val="zh-CN"/>
        </w:rPr>
        <w:t>财务管理。</w:t>
      </w:r>
      <w:r>
        <w:rPr>
          <w:rFonts w:hint="eastAsia" w:ascii="CESI仿宋-GB2312" w:hAnsi="CESI仿宋-GB2312" w:eastAsia="CESI仿宋-GB2312" w:cs="CESI仿宋-GB2312"/>
          <w:snapToGrid w:val="0"/>
          <w:sz w:val="32"/>
          <w:szCs w:val="32"/>
          <w:shd w:val="clear" w:color="auto" w:fill="FFFFFF"/>
        </w:rPr>
        <w:t>（分值10分，自评10分）</w:t>
      </w:r>
    </w:p>
    <w:p>
      <w:pPr>
        <w:pStyle w:val="2"/>
        <w:spacing w:line="560" w:lineRule="exact"/>
        <w:ind w:firstLine="640" w:firstLineChars="200"/>
        <w:jc w:val="both"/>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lang w:val="zh-CN"/>
        </w:rPr>
        <w:t>财务管理制度：</w:t>
      </w:r>
      <w:r>
        <w:rPr>
          <w:rFonts w:hint="eastAsia" w:ascii="CESI仿宋-GB2312" w:hAnsi="CESI仿宋-GB2312" w:eastAsia="CESI仿宋-GB2312" w:cs="CESI仿宋-GB2312"/>
          <w:snapToGrid w:val="0"/>
          <w:sz w:val="32"/>
          <w:szCs w:val="32"/>
          <w:shd w:val="clear" w:color="auto" w:fill="FFFFFF"/>
        </w:rPr>
        <w:t>四川省人民政府科学城办事处</w:t>
      </w:r>
      <w:r>
        <w:rPr>
          <w:rFonts w:hint="eastAsia" w:ascii="CESI仿宋-GB2312" w:hAnsi="CESI仿宋-GB2312" w:eastAsia="CESI仿宋-GB2312" w:cs="CESI仿宋-GB2312"/>
          <w:sz w:val="32"/>
          <w:szCs w:val="32"/>
          <w:lang w:val="zh-CN"/>
        </w:rPr>
        <w:t>制定各项管理办法，全方位扎紧制度笼子。制定《中物院医疗保险基金内部稽核管理办法》（公管〔2023〕5号），防范和化解医疗保险基金管理运作风险；制定《中物院839地区住宅小区经营性公共建筑物管理办法》（公管〔2023〕17号），规范经营性公共建筑物管理活动，提高经营性公共建筑物使用效益；制定《中国工程物理研究院公共事务管理部公务卡管理办法》（公管〔2023〕40号），规范单位公务支出结算，提高结算效率及透明度；制定《公共事务管理部、科学城办事处差旅费管理办法》（公管〔2023〕47号），规范差旅费报销管理，</w:t>
      </w:r>
      <w:r>
        <w:rPr>
          <w:rFonts w:hint="eastAsia" w:ascii="CESI仿宋-GB2312" w:hAnsi="CESI仿宋-GB2312" w:eastAsia="CESI仿宋-GB2312" w:cs="CESI仿宋-GB2312"/>
          <w:sz w:val="32"/>
          <w:szCs w:val="32"/>
        </w:rPr>
        <w:t>财务管理制度得到落实，</w:t>
      </w:r>
      <w:r>
        <w:rPr>
          <w:rFonts w:hint="eastAsia" w:ascii="CESI仿宋-GB2312" w:hAnsi="CESI仿宋-GB2312" w:eastAsia="CESI仿宋-GB2312" w:cs="CESI仿宋-GB2312"/>
          <w:snapToGrid w:val="0"/>
          <w:sz w:val="32"/>
          <w:szCs w:val="32"/>
          <w:shd w:val="clear" w:color="auto" w:fill="FFFFFF"/>
        </w:rPr>
        <w:t>该项指标得4分。</w:t>
      </w:r>
    </w:p>
    <w:p>
      <w:pPr>
        <w:pStyle w:val="2"/>
        <w:spacing w:line="560" w:lineRule="exact"/>
        <w:ind w:firstLine="640" w:firstLineChars="200"/>
        <w:jc w:val="both"/>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lang w:val="zh-CN"/>
        </w:rPr>
        <w:t>财务岗位设置</w:t>
      </w:r>
      <w:r>
        <w:rPr>
          <w:rFonts w:hint="eastAsia" w:ascii="CESI仿宋-GB2312" w:hAnsi="CESI仿宋-GB2312" w:eastAsia="CESI仿宋-GB2312" w:cs="CESI仿宋-GB2312"/>
          <w:b/>
          <w:bCs/>
          <w:sz w:val="32"/>
          <w:szCs w:val="32"/>
        </w:rPr>
        <w:t>：</w:t>
      </w:r>
      <w:r>
        <w:rPr>
          <w:rFonts w:hint="eastAsia" w:ascii="CESI仿宋-GB2312" w:hAnsi="CESI仿宋-GB2312" w:eastAsia="CESI仿宋-GB2312" w:cs="CESI仿宋-GB2312"/>
          <w:snapToGrid w:val="0"/>
          <w:sz w:val="32"/>
          <w:szCs w:val="32"/>
          <w:shd w:val="clear" w:color="auto" w:fill="FFFFFF"/>
        </w:rPr>
        <w:t>四川省人民政府科学城办事处</w:t>
      </w:r>
      <w:r>
        <w:rPr>
          <w:rFonts w:hint="eastAsia" w:ascii="CESI仿宋-GB2312" w:hAnsi="CESI仿宋-GB2312" w:eastAsia="CESI仿宋-GB2312" w:cs="CESI仿宋-GB2312"/>
          <w:sz w:val="32"/>
          <w:szCs w:val="32"/>
        </w:rPr>
        <w:t>部门财务工作岗位设置合理，明确职责权限，并严格实行不相容岗位分离，</w:t>
      </w:r>
      <w:r>
        <w:rPr>
          <w:rFonts w:hint="eastAsia" w:ascii="CESI仿宋-GB2312" w:hAnsi="CESI仿宋-GB2312" w:eastAsia="CESI仿宋-GB2312" w:cs="CESI仿宋-GB2312"/>
          <w:snapToGrid w:val="0"/>
          <w:sz w:val="32"/>
          <w:szCs w:val="32"/>
          <w:shd w:val="clear" w:color="auto" w:fill="FFFFFF"/>
        </w:rPr>
        <w:t>该项指标得2分。</w:t>
      </w:r>
    </w:p>
    <w:p>
      <w:pPr>
        <w:pStyle w:val="2"/>
        <w:spacing w:line="560" w:lineRule="exact"/>
        <w:ind w:firstLine="640" w:firstLineChars="200"/>
        <w:jc w:val="both"/>
        <w:rPr>
          <w:rFonts w:hint="eastAsia" w:ascii="CESI仿宋-GB2312" w:hAnsi="CESI仿宋-GB2312" w:eastAsia="CESI仿宋-GB2312" w:cs="CESI仿宋-GB2312"/>
          <w:sz w:val="32"/>
          <w:szCs w:val="32"/>
          <w:shd w:val="clear" w:color="auto" w:fill="FFFFFF"/>
          <w:lang w:val="zh-CN"/>
        </w:rPr>
      </w:pPr>
      <w:r>
        <w:rPr>
          <w:rFonts w:hint="eastAsia" w:ascii="CESI仿宋-GB2312" w:hAnsi="CESI仿宋-GB2312" w:eastAsia="CESI仿宋-GB2312" w:cs="CESI仿宋-GB2312"/>
          <w:b/>
          <w:bCs/>
          <w:sz w:val="32"/>
          <w:szCs w:val="32"/>
          <w:lang w:val="zh-CN"/>
        </w:rPr>
        <w:t>资金使用规范</w:t>
      </w:r>
      <w:r>
        <w:rPr>
          <w:rFonts w:hint="eastAsia" w:ascii="CESI仿宋-GB2312" w:hAnsi="CESI仿宋-GB2312" w:eastAsia="CESI仿宋-GB2312" w:cs="CESI仿宋-GB2312"/>
          <w:b/>
          <w:bCs/>
          <w:sz w:val="32"/>
          <w:szCs w:val="32"/>
        </w:rPr>
        <w:t>：</w:t>
      </w:r>
      <w:r>
        <w:rPr>
          <w:rFonts w:hint="eastAsia" w:ascii="CESI仿宋-GB2312" w:hAnsi="CESI仿宋-GB2312" w:eastAsia="CESI仿宋-GB2312" w:cs="CESI仿宋-GB2312"/>
          <w:snapToGrid w:val="0"/>
          <w:sz w:val="32"/>
          <w:szCs w:val="32"/>
          <w:shd w:val="clear" w:color="auto" w:fill="FFFFFF"/>
        </w:rPr>
        <w:t>四川省人民政府科学城办事处部门资金使用符合相关财务管理制度规定</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napToGrid w:val="0"/>
          <w:sz w:val="32"/>
          <w:szCs w:val="32"/>
          <w:shd w:val="clear" w:color="auto" w:fill="FFFFFF"/>
        </w:rPr>
        <w:t>该项指标得4分。</w:t>
      </w:r>
    </w:p>
    <w:p>
      <w:pPr>
        <w:snapToGrid w:val="0"/>
        <w:spacing w:line="560" w:lineRule="exact"/>
        <w:ind w:left="420" w:leftChars="200"/>
        <w:contextualSpacing/>
        <w:rPr>
          <w:rFonts w:hint="eastAsia"/>
          <w:sz w:val="32"/>
          <w:szCs w:val="32"/>
          <w:shd w:val="clear" w:color="auto" w:fill="FFFFFF"/>
        </w:rPr>
      </w:pPr>
      <w:r>
        <w:rPr>
          <w:rFonts w:hint="eastAsia"/>
          <w:color w:val="000000"/>
          <w:sz w:val="32"/>
          <w:szCs w:val="32"/>
          <w:shd w:val="clear" w:color="auto" w:fill="FFFFFF"/>
        </w:rPr>
        <w:t>4.</w:t>
      </w:r>
      <w:r>
        <w:rPr>
          <w:rFonts w:hint="eastAsia"/>
          <w:color w:val="000000"/>
          <w:sz w:val="32"/>
          <w:szCs w:val="32"/>
          <w:shd w:val="clear" w:color="auto" w:fill="FFFFFF"/>
          <w:lang w:val="zh-CN"/>
        </w:rPr>
        <w:t>资产管理。</w:t>
      </w:r>
      <w:r>
        <w:rPr>
          <w:rFonts w:hint="eastAsia"/>
          <w:sz w:val="32"/>
          <w:szCs w:val="32"/>
          <w:shd w:val="clear" w:color="auto" w:fill="FFFFFF"/>
        </w:rPr>
        <w:t>（分值9分，自评9分）</w:t>
      </w:r>
    </w:p>
    <w:p>
      <w:pPr>
        <w:snapToGrid w:val="0"/>
        <w:spacing w:line="560" w:lineRule="exact"/>
        <w:ind w:left="420" w:leftChars="200"/>
        <w:contextualSpacing/>
        <w:rPr>
          <w:rFonts w:hint="eastAsia"/>
          <w:sz w:val="32"/>
          <w:szCs w:val="32"/>
          <w:lang w:val="zh-CN"/>
        </w:rPr>
      </w:pPr>
      <w:r>
        <w:rPr>
          <w:rFonts w:hint="eastAsia"/>
          <w:color w:val="000000"/>
          <w:sz w:val="32"/>
          <w:szCs w:val="32"/>
          <w:shd w:val="clear" w:color="auto" w:fill="FFFFFF"/>
          <w:lang w:val="zh-CN"/>
        </w:rPr>
        <w:t>此项不涉及。</w:t>
      </w:r>
    </w:p>
    <w:p>
      <w:pPr>
        <w:snapToGrid w:val="0"/>
        <w:spacing w:line="560" w:lineRule="exact"/>
        <w:ind w:firstLine="320" w:firstLineChars="100"/>
        <w:contextualSpacing/>
        <w:rPr>
          <w:rFonts w:hint="eastAsia"/>
          <w:color w:val="000000"/>
          <w:sz w:val="32"/>
          <w:szCs w:val="32"/>
          <w:shd w:val="clear" w:color="auto" w:fill="FFFFFF"/>
          <w:lang w:val="zh-CN"/>
        </w:rPr>
      </w:pPr>
      <w:r>
        <w:rPr>
          <w:rFonts w:hint="eastAsia"/>
          <w:color w:val="000000"/>
          <w:sz w:val="32"/>
          <w:szCs w:val="32"/>
          <w:shd w:val="clear" w:color="auto" w:fill="FFFFFF"/>
        </w:rPr>
        <w:t>5.</w:t>
      </w:r>
      <w:r>
        <w:rPr>
          <w:rFonts w:hint="eastAsia"/>
          <w:color w:val="000000"/>
          <w:sz w:val="32"/>
          <w:szCs w:val="32"/>
          <w:shd w:val="clear" w:color="auto" w:fill="FFFFFF"/>
          <w:lang w:val="zh-CN"/>
        </w:rPr>
        <w:t>采购管理。</w:t>
      </w:r>
      <w:r>
        <w:rPr>
          <w:rFonts w:hint="eastAsia"/>
          <w:sz w:val="32"/>
          <w:szCs w:val="32"/>
          <w:shd w:val="clear" w:color="auto" w:fill="FFFFFF"/>
        </w:rPr>
        <w:t>（分值6分，自评6分）</w:t>
      </w:r>
    </w:p>
    <w:p>
      <w:pPr>
        <w:pStyle w:val="2"/>
        <w:spacing w:line="560" w:lineRule="exact"/>
        <w:ind w:firstLine="640" w:firstLineChars="200"/>
        <w:jc w:val="both"/>
        <w:rPr>
          <w:rFonts w:hint="eastAsia" w:ascii="CESI仿宋-GB2312" w:hAnsi="CESI仿宋-GB2312" w:eastAsia="CESI仿宋-GB2312" w:cs="CESI仿宋-GB2312"/>
          <w:snapToGrid w:val="0"/>
          <w:color w:val="auto"/>
          <w:sz w:val="32"/>
          <w:szCs w:val="32"/>
          <w:shd w:val="clear" w:color="auto" w:fill="FFFFFF"/>
          <w:lang w:val="zh-CN"/>
        </w:rPr>
      </w:pPr>
      <w:r>
        <w:rPr>
          <w:rFonts w:hint="eastAsia" w:ascii="CESI仿宋-GB2312" w:hAnsi="CESI仿宋-GB2312" w:eastAsia="CESI仿宋-GB2312" w:cs="CESI仿宋-GB2312"/>
          <w:b/>
          <w:bCs/>
          <w:sz w:val="32"/>
          <w:szCs w:val="32"/>
          <w:lang w:val="zh-CN"/>
        </w:rPr>
        <w:t>支持中小企业发展：</w:t>
      </w:r>
      <w:r>
        <w:rPr>
          <w:rFonts w:hint="eastAsia" w:ascii="CESI仿宋-GB2312" w:hAnsi="CESI仿宋-GB2312" w:eastAsia="CESI仿宋-GB2312" w:cs="CESI仿宋-GB2312"/>
          <w:color w:val="auto"/>
          <w:sz w:val="32"/>
          <w:szCs w:val="32"/>
          <w:lang w:val="zh-CN"/>
        </w:rPr>
        <w:t>对适宜由中小企业提供的采购项目和采购包，预留采购份额</w:t>
      </w:r>
      <w:r>
        <w:rPr>
          <w:rFonts w:hint="eastAsia" w:ascii="CESI仿宋-GB2312" w:hAnsi="CESI仿宋-GB2312" w:eastAsia="CESI仿宋-GB2312" w:cs="CESI仿宋-GB2312"/>
          <w:color w:val="auto"/>
          <w:sz w:val="32"/>
          <w:szCs w:val="32"/>
        </w:rPr>
        <w:t>(累计100万元)</w:t>
      </w:r>
      <w:r>
        <w:rPr>
          <w:rFonts w:hint="eastAsia" w:ascii="CESI仿宋-GB2312" w:hAnsi="CESI仿宋-GB2312" w:eastAsia="CESI仿宋-GB2312" w:cs="CESI仿宋-GB2312"/>
          <w:color w:val="auto"/>
          <w:sz w:val="32"/>
          <w:szCs w:val="32"/>
          <w:lang w:val="zh-CN"/>
        </w:rPr>
        <w:t>专门面向中小企业采购，并在采购预算中单独列示，</w:t>
      </w:r>
      <w:r>
        <w:rPr>
          <w:rFonts w:hint="eastAsia" w:ascii="CESI仿宋-GB2312" w:hAnsi="CESI仿宋-GB2312" w:eastAsia="CESI仿宋-GB2312" w:cs="CESI仿宋-GB2312"/>
          <w:snapToGrid w:val="0"/>
          <w:color w:val="auto"/>
          <w:sz w:val="32"/>
          <w:szCs w:val="32"/>
          <w:shd w:val="clear" w:color="auto" w:fill="FFFFFF"/>
        </w:rPr>
        <w:t>该项指标得3分。</w:t>
      </w:r>
    </w:p>
    <w:p>
      <w:pPr>
        <w:pStyle w:val="2"/>
        <w:spacing w:line="560" w:lineRule="exact"/>
        <w:ind w:firstLine="640" w:firstLineChars="200"/>
        <w:jc w:val="both"/>
        <w:rPr>
          <w:rFonts w:hint="eastAsia" w:ascii="CESI仿宋-GB2312" w:hAnsi="CESI仿宋-GB2312" w:eastAsia="CESI仿宋-GB2312" w:cs="CESI仿宋-GB2312"/>
          <w:color w:val="FF0000"/>
          <w:sz w:val="32"/>
          <w:szCs w:val="32"/>
          <w:shd w:val="clear" w:color="auto" w:fill="FFFFFF"/>
          <w:lang w:val="zh-CN"/>
        </w:rPr>
      </w:pPr>
      <w:r>
        <w:rPr>
          <w:rFonts w:hint="eastAsia" w:ascii="CESI仿宋-GB2312" w:hAnsi="CESI仿宋-GB2312" w:eastAsia="CESI仿宋-GB2312" w:cs="CESI仿宋-GB2312"/>
          <w:b/>
          <w:bCs/>
          <w:sz w:val="32"/>
          <w:szCs w:val="32"/>
          <w:lang w:val="zh-CN"/>
        </w:rPr>
        <w:t>采购执行率：</w:t>
      </w:r>
      <w:r>
        <w:rPr>
          <w:rFonts w:hint="eastAsia" w:ascii="CESI仿宋-GB2312" w:hAnsi="CESI仿宋-GB2312" w:eastAsia="CESI仿宋-GB2312" w:cs="CESI仿宋-GB2312"/>
          <w:snapToGrid w:val="0"/>
          <w:color w:val="auto"/>
          <w:sz w:val="32"/>
          <w:szCs w:val="32"/>
          <w:shd w:val="clear" w:color="auto" w:fill="FFFFFF"/>
          <w:lang w:val="zh-CN"/>
        </w:rPr>
        <w:t>部门政府采购项目预算资金合计</w:t>
      </w:r>
      <w:r>
        <w:rPr>
          <w:rFonts w:hint="eastAsia" w:ascii="CESI仿宋-GB2312" w:hAnsi="CESI仿宋-GB2312" w:eastAsia="CESI仿宋-GB2312" w:cs="CESI仿宋-GB2312"/>
          <w:snapToGrid w:val="0"/>
          <w:color w:val="auto"/>
          <w:sz w:val="32"/>
          <w:szCs w:val="32"/>
          <w:shd w:val="clear" w:color="auto" w:fill="FFFFFF"/>
        </w:rPr>
        <w:t>3</w:t>
      </w:r>
      <w:r>
        <w:rPr>
          <w:rFonts w:hint="eastAsia" w:ascii="CESI仿宋-GB2312" w:hAnsi="CESI仿宋-GB2312" w:eastAsia="CESI仿宋-GB2312" w:cs="CESI仿宋-GB2312"/>
          <w:snapToGrid w:val="0"/>
          <w:color w:val="auto"/>
          <w:sz w:val="32"/>
          <w:szCs w:val="32"/>
          <w:shd w:val="clear" w:color="auto" w:fill="FFFFFF"/>
          <w:lang w:eastAsia="zh-CN"/>
        </w:rPr>
        <w:t>5</w:t>
      </w:r>
      <w:r>
        <w:rPr>
          <w:rFonts w:hint="eastAsia" w:ascii="CESI仿宋-GB2312" w:hAnsi="CESI仿宋-GB2312" w:eastAsia="CESI仿宋-GB2312" w:cs="CESI仿宋-GB2312"/>
          <w:snapToGrid w:val="0"/>
          <w:color w:val="auto"/>
          <w:sz w:val="32"/>
          <w:szCs w:val="32"/>
          <w:shd w:val="clear" w:color="auto" w:fill="FFFFFF"/>
          <w:lang w:val="en-US" w:eastAsia="zh-CN"/>
        </w:rPr>
        <w:t>9</w:t>
      </w:r>
      <w:r>
        <w:rPr>
          <w:rFonts w:hint="eastAsia" w:ascii="CESI仿宋-GB2312" w:hAnsi="CESI仿宋-GB2312" w:eastAsia="CESI仿宋-GB2312" w:cs="CESI仿宋-GB2312"/>
          <w:snapToGrid w:val="0"/>
          <w:color w:val="auto"/>
          <w:sz w:val="32"/>
          <w:szCs w:val="32"/>
          <w:shd w:val="clear" w:color="auto" w:fill="FFFFFF"/>
        </w:rPr>
        <w:t>万元,</w:t>
      </w:r>
      <w:r>
        <w:rPr>
          <w:rFonts w:hint="eastAsia" w:ascii="CESI仿宋-GB2312" w:hAnsi="CESI仿宋-GB2312" w:eastAsia="CESI仿宋-GB2312" w:cs="CESI仿宋-GB2312"/>
          <w:snapToGrid w:val="0"/>
          <w:color w:val="auto"/>
          <w:sz w:val="32"/>
          <w:szCs w:val="32"/>
          <w:shd w:val="clear" w:color="auto" w:fill="FFFFFF"/>
          <w:lang w:val="zh-CN"/>
        </w:rPr>
        <w:t>合同金额为</w:t>
      </w:r>
      <w:r>
        <w:rPr>
          <w:rFonts w:hint="eastAsia" w:ascii="CESI仿宋-GB2312" w:hAnsi="CESI仿宋-GB2312" w:eastAsia="CESI仿宋-GB2312" w:cs="CESI仿宋-GB2312"/>
          <w:snapToGrid w:val="0"/>
          <w:color w:val="auto"/>
          <w:sz w:val="32"/>
          <w:szCs w:val="32"/>
          <w:shd w:val="clear" w:color="auto" w:fill="FFFFFF"/>
          <w:lang w:eastAsia="zh-CN"/>
        </w:rPr>
        <w:t>2</w:t>
      </w:r>
      <w:r>
        <w:rPr>
          <w:rFonts w:hint="eastAsia" w:ascii="CESI仿宋-GB2312" w:hAnsi="CESI仿宋-GB2312" w:eastAsia="CESI仿宋-GB2312" w:cs="CESI仿宋-GB2312"/>
          <w:snapToGrid w:val="0"/>
          <w:color w:val="auto"/>
          <w:sz w:val="32"/>
          <w:szCs w:val="32"/>
          <w:shd w:val="clear" w:color="auto" w:fill="FFFFFF"/>
          <w:lang w:val="en-US" w:eastAsia="zh-CN"/>
        </w:rPr>
        <w:t>85.69</w:t>
      </w:r>
      <w:r>
        <w:rPr>
          <w:rFonts w:hint="eastAsia" w:ascii="CESI仿宋-GB2312" w:hAnsi="CESI仿宋-GB2312" w:eastAsia="CESI仿宋-GB2312" w:cs="CESI仿宋-GB2312"/>
          <w:snapToGrid w:val="0"/>
          <w:color w:val="auto"/>
          <w:sz w:val="32"/>
          <w:szCs w:val="32"/>
          <w:shd w:val="clear" w:color="auto" w:fill="FFFFFF"/>
        </w:rPr>
        <w:t>万元,</w:t>
      </w:r>
      <w:r>
        <w:rPr>
          <w:rFonts w:hint="eastAsia" w:ascii="CESI仿宋-GB2312" w:hAnsi="CESI仿宋-GB2312" w:eastAsia="CESI仿宋-GB2312" w:cs="CESI仿宋-GB2312"/>
          <w:snapToGrid w:val="0"/>
          <w:color w:val="auto"/>
          <w:sz w:val="32"/>
          <w:szCs w:val="32"/>
          <w:shd w:val="clear" w:color="auto" w:fill="FFFFFF"/>
          <w:lang w:val="zh-CN"/>
        </w:rPr>
        <w:t>支付金额</w:t>
      </w:r>
      <w:r>
        <w:rPr>
          <w:rFonts w:hint="eastAsia" w:ascii="CESI仿宋-GB2312" w:hAnsi="CESI仿宋-GB2312" w:eastAsia="CESI仿宋-GB2312" w:cs="CESI仿宋-GB2312"/>
          <w:snapToGrid w:val="0"/>
          <w:color w:val="auto"/>
          <w:sz w:val="32"/>
          <w:szCs w:val="32"/>
          <w:shd w:val="clear" w:color="auto" w:fill="FFFFFF"/>
          <w:lang w:eastAsia="zh-CN"/>
        </w:rPr>
        <w:t>2</w:t>
      </w:r>
      <w:r>
        <w:rPr>
          <w:rFonts w:hint="eastAsia" w:ascii="CESI仿宋-GB2312" w:hAnsi="CESI仿宋-GB2312" w:eastAsia="CESI仿宋-GB2312" w:cs="CESI仿宋-GB2312"/>
          <w:snapToGrid w:val="0"/>
          <w:color w:val="auto"/>
          <w:sz w:val="32"/>
          <w:szCs w:val="32"/>
          <w:shd w:val="clear" w:color="auto" w:fill="FFFFFF"/>
          <w:lang w:val="en-US" w:eastAsia="zh-CN"/>
        </w:rPr>
        <w:t>85.69</w:t>
      </w:r>
      <w:r>
        <w:rPr>
          <w:rFonts w:hint="eastAsia" w:ascii="CESI仿宋-GB2312" w:hAnsi="CESI仿宋-GB2312" w:eastAsia="CESI仿宋-GB2312" w:cs="CESI仿宋-GB2312"/>
          <w:snapToGrid w:val="0"/>
          <w:color w:val="auto"/>
          <w:sz w:val="32"/>
          <w:szCs w:val="32"/>
          <w:shd w:val="clear" w:color="auto" w:fill="FFFFFF"/>
        </w:rPr>
        <w:t>万元,支付</w:t>
      </w:r>
      <w:r>
        <w:rPr>
          <w:rFonts w:hint="eastAsia" w:ascii="CESI仿宋-GB2312" w:hAnsi="CESI仿宋-GB2312" w:eastAsia="CESI仿宋-GB2312" w:cs="CESI仿宋-GB2312"/>
          <w:snapToGrid w:val="0"/>
          <w:color w:val="auto"/>
          <w:sz w:val="32"/>
          <w:szCs w:val="32"/>
          <w:shd w:val="clear" w:color="auto" w:fill="FFFFFF"/>
          <w:lang w:val="zh-CN"/>
        </w:rPr>
        <w:t>比例为</w:t>
      </w:r>
      <w:r>
        <w:rPr>
          <w:rFonts w:hint="eastAsia" w:ascii="CESI仿宋-GB2312" w:hAnsi="CESI仿宋-GB2312" w:eastAsia="CESI仿宋-GB2312" w:cs="CESI仿宋-GB2312"/>
          <w:snapToGrid w:val="0"/>
          <w:color w:val="auto"/>
          <w:sz w:val="32"/>
          <w:szCs w:val="32"/>
          <w:shd w:val="clear" w:color="auto" w:fill="FFFFFF"/>
          <w:lang w:val="en-US" w:eastAsia="zh-CN"/>
        </w:rPr>
        <w:t>100</w:t>
      </w:r>
      <w:r>
        <w:rPr>
          <w:rFonts w:hint="eastAsia" w:ascii="CESI仿宋-GB2312" w:hAnsi="CESI仿宋-GB2312" w:eastAsia="CESI仿宋-GB2312" w:cs="CESI仿宋-GB2312"/>
          <w:snapToGrid w:val="0"/>
          <w:color w:val="auto"/>
          <w:sz w:val="32"/>
          <w:szCs w:val="32"/>
          <w:shd w:val="clear" w:color="auto" w:fill="FFFFFF"/>
        </w:rPr>
        <w:t>%</w:t>
      </w:r>
      <w:r>
        <w:rPr>
          <w:rFonts w:hint="eastAsia" w:ascii="CESI仿宋-GB2312" w:hAnsi="CESI仿宋-GB2312" w:eastAsia="CESI仿宋-GB2312" w:cs="CESI仿宋-GB2312"/>
          <w:snapToGrid w:val="0"/>
          <w:color w:val="auto"/>
          <w:sz w:val="32"/>
          <w:szCs w:val="32"/>
          <w:shd w:val="clear" w:color="auto" w:fill="FFFFFF"/>
          <w:lang w:val="zh-CN"/>
        </w:rPr>
        <w:t>，</w:t>
      </w:r>
      <w:r>
        <w:rPr>
          <w:rFonts w:hint="eastAsia" w:ascii="CESI仿宋-GB2312" w:hAnsi="CESI仿宋-GB2312" w:eastAsia="CESI仿宋-GB2312" w:cs="CESI仿宋-GB2312"/>
          <w:snapToGrid w:val="0"/>
          <w:color w:val="auto"/>
          <w:sz w:val="32"/>
          <w:szCs w:val="32"/>
          <w:shd w:val="clear" w:color="auto" w:fill="FFFFFF"/>
        </w:rPr>
        <w:t>该项指标得3分。</w:t>
      </w:r>
    </w:p>
    <w:p>
      <w:pPr>
        <w:widowControl/>
        <w:snapToGrid w:val="0"/>
        <w:spacing w:line="560" w:lineRule="exact"/>
        <w:ind w:firstLine="617" w:firstLineChars="193"/>
        <w:rPr>
          <w:rFonts w:hint="eastAsia" w:ascii="CESI楷体-GB2312" w:hAnsi="CESI楷体-GB2312" w:eastAsia="CESI楷体-GB2312" w:cs="CESI楷体-GB2312"/>
          <w:color w:val="000000"/>
          <w:sz w:val="32"/>
          <w:szCs w:val="32"/>
          <w:shd w:val="clear" w:color="auto" w:fill="FFFFFF"/>
          <w:lang w:val="zh-CN"/>
        </w:rPr>
      </w:pPr>
      <w:r>
        <w:rPr>
          <w:rFonts w:hint="eastAsia" w:ascii="CESI楷体-GB2312" w:hAnsi="CESI楷体-GB2312" w:eastAsia="CESI楷体-GB2312" w:cs="CESI楷体-GB2312"/>
          <w:color w:val="000000"/>
          <w:sz w:val="32"/>
          <w:szCs w:val="32"/>
          <w:shd w:val="clear" w:color="auto" w:fill="FFFFFF"/>
          <w:lang w:val="zh-CN"/>
        </w:rPr>
        <w:t>㈡部门预算项目绩效分析</w:t>
      </w:r>
    </w:p>
    <w:p>
      <w:pPr>
        <w:snapToGrid w:val="0"/>
        <w:spacing w:line="560" w:lineRule="exact"/>
        <w:ind w:firstLine="640"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常年项目绩效分析。</w:t>
      </w:r>
      <w:r>
        <w:rPr>
          <w:rFonts w:hint="eastAsia" w:ascii="仿宋_GB2312" w:hAnsi="仿宋_GB2312" w:eastAsia="仿宋_GB2312" w:cs="仿宋_GB2312"/>
          <w:color w:val="000000"/>
          <w:sz w:val="32"/>
          <w:szCs w:val="32"/>
          <w:shd w:val="clear" w:color="auto" w:fill="FFFFFF"/>
          <w:lang w:val="zh-CN"/>
        </w:rPr>
        <w:t>该类项目总数</w:t>
      </w: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个，涉及预算总金额</w:t>
      </w:r>
      <w:r>
        <w:rPr>
          <w:rFonts w:hint="eastAsia" w:ascii="仿宋_GB2312" w:hAnsi="仿宋_GB2312" w:eastAsia="仿宋_GB2312" w:cs="仿宋_GB2312"/>
          <w:color w:val="000000"/>
          <w:sz w:val="32"/>
          <w:szCs w:val="32"/>
          <w:shd w:val="clear" w:color="auto" w:fill="FFFFFF"/>
          <w:lang w:val="en-US" w:eastAsia="zh-CN"/>
        </w:rPr>
        <w:t>1400</w:t>
      </w:r>
      <w:r>
        <w:rPr>
          <w:rFonts w:hint="eastAsia" w:ascii="仿宋_GB2312" w:hAnsi="仿宋_GB2312" w:eastAsia="仿宋_GB2312" w:cs="仿宋_GB2312"/>
          <w:color w:val="000000"/>
          <w:sz w:val="32"/>
          <w:szCs w:val="32"/>
          <w:shd w:val="clear" w:color="auto" w:fill="FFFFFF"/>
        </w:rPr>
        <w:t>.00</w:t>
      </w:r>
      <w:r>
        <w:rPr>
          <w:rFonts w:hint="eastAsia" w:ascii="仿宋_GB2312" w:hAnsi="仿宋_GB2312" w:eastAsia="仿宋_GB2312" w:cs="仿宋_GB2312"/>
          <w:color w:val="000000"/>
          <w:sz w:val="32"/>
          <w:szCs w:val="32"/>
          <w:shd w:val="clear" w:color="auto" w:fill="FFFFFF"/>
          <w:lang w:val="zh-CN"/>
        </w:rPr>
        <w:t>万元，1—1</w:t>
      </w: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月预算执行总体进度为</w:t>
      </w:r>
      <w:r>
        <w:rPr>
          <w:rFonts w:hint="eastAsia" w:ascii="仿宋_GB2312" w:hAnsi="仿宋_GB2312" w:eastAsia="仿宋_GB2312" w:cs="仿宋_GB2312"/>
          <w:color w:val="000000"/>
          <w:sz w:val="32"/>
          <w:szCs w:val="32"/>
          <w:shd w:val="clear" w:color="auto" w:fill="FFFFFF"/>
          <w:lang w:val="en-US" w:eastAsia="zh-CN"/>
        </w:rPr>
        <w:t>98</w:t>
      </w:r>
      <w:r>
        <w:rPr>
          <w:rFonts w:hint="eastAsia" w:ascii="仿宋_GB2312" w:hAnsi="仿宋_GB2312" w:eastAsia="仿宋_GB2312" w:cs="仿宋_GB2312"/>
          <w:color w:val="000000"/>
          <w:sz w:val="32"/>
          <w:szCs w:val="32"/>
          <w:shd w:val="clear" w:color="auto" w:fill="FFFFFF"/>
          <w:lang w:val="zh-CN"/>
        </w:rPr>
        <w:t>%。</w:t>
      </w:r>
    </w:p>
    <w:p>
      <w:pPr>
        <w:snapToGrid w:val="0"/>
        <w:spacing w:line="560" w:lineRule="exact"/>
        <w:ind w:firstLine="640"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阶段（含一次性）项目绩效分析。</w:t>
      </w:r>
      <w:r>
        <w:rPr>
          <w:rFonts w:hint="eastAsia" w:ascii="仿宋_GB2312" w:hAnsi="仿宋_GB2312" w:eastAsia="仿宋_GB2312" w:cs="仿宋_GB2312"/>
          <w:color w:val="000000"/>
          <w:sz w:val="32"/>
          <w:szCs w:val="32"/>
          <w:shd w:val="clear" w:color="auto" w:fill="FFFFFF"/>
          <w:lang w:val="zh-CN"/>
        </w:rPr>
        <w:t>该类项目总数</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lang w:val="zh-CN"/>
        </w:rPr>
        <w:t>个，涉及预算总金额</w:t>
      </w:r>
      <w:r>
        <w:rPr>
          <w:rFonts w:hint="eastAsia" w:ascii="仿宋_GB2312" w:hAnsi="仿宋_GB2312" w:eastAsia="仿宋_GB2312" w:cs="仿宋_GB2312"/>
          <w:color w:val="000000"/>
          <w:sz w:val="32"/>
          <w:szCs w:val="32"/>
          <w:shd w:val="clear" w:color="auto" w:fill="FFFFFF"/>
          <w:lang w:val="en-US" w:eastAsia="zh-CN"/>
        </w:rPr>
        <w:t>165</w:t>
      </w:r>
      <w:r>
        <w:rPr>
          <w:rFonts w:hint="eastAsia" w:ascii="仿宋_GB2312" w:hAnsi="仿宋_GB2312" w:eastAsia="仿宋_GB2312" w:cs="仿宋_GB2312"/>
          <w:color w:val="000000"/>
          <w:sz w:val="32"/>
          <w:szCs w:val="32"/>
          <w:shd w:val="clear" w:color="auto" w:fill="FFFFFF"/>
          <w:lang w:val="zh-CN"/>
        </w:rPr>
        <w:t>万元，1—1</w:t>
      </w: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月预算执行总体进度为</w:t>
      </w:r>
      <w:r>
        <w:rPr>
          <w:rFonts w:hint="eastAsia" w:ascii="仿宋_GB2312" w:hAnsi="仿宋_GB2312" w:eastAsia="仿宋_GB2312" w:cs="仿宋_GB2312"/>
          <w:color w:val="000000"/>
          <w:sz w:val="32"/>
          <w:szCs w:val="32"/>
          <w:shd w:val="clear" w:color="auto" w:fill="FFFFFF"/>
        </w:rPr>
        <w:t>100</w:t>
      </w:r>
      <w:r>
        <w:rPr>
          <w:rFonts w:hint="eastAsia" w:ascii="仿宋_GB2312" w:hAnsi="仿宋_GB2312" w:eastAsia="仿宋_GB2312" w:cs="仿宋_GB2312"/>
          <w:color w:val="000000"/>
          <w:sz w:val="32"/>
          <w:szCs w:val="32"/>
          <w:shd w:val="clear" w:color="auto" w:fill="FFFFFF"/>
          <w:lang w:val="zh-CN"/>
        </w:rPr>
        <w:t>%。</w:t>
      </w:r>
    </w:p>
    <w:p>
      <w:pPr>
        <w:snapToGrid w:val="0"/>
        <w:spacing w:line="560" w:lineRule="exact"/>
        <w:ind w:firstLine="640" w:firstLineChars="200"/>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lang w:val="zh-CN"/>
        </w:rPr>
        <w:t>项目决策。（</w:t>
      </w:r>
      <w:r>
        <w:rPr>
          <w:rFonts w:hint="eastAsia" w:ascii="仿宋_GB2312" w:hAnsi="仿宋_GB2312" w:eastAsia="仿宋_GB2312" w:cs="仿宋_GB2312"/>
          <w:sz w:val="32"/>
          <w:szCs w:val="32"/>
          <w:shd w:val="clear" w:color="auto" w:fill="FFFFFF"/>
        </w:rPr>
        <w:t>分值12分，自评12分）</w:t>
      </w:r>
    </w:p>
    <w:p>
      <w:pPr>
        <w:snapToGrid w:val="0"/>
        <w:spacing w:line="560" w:lineRule="exact"/>
        <w:ind w:firstLine="642"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b/>
          <w:bCs/>
          <w:color w:val="000000"/>
          <w:sz w:val="32"/>
          <w:szCs w:val="32"/>
          <w:shd w:val="clear" w:color="auto" w:fill="FFFFFF"/>
          <w:lang w:val="zh-CN"/>
        </w:rPr>
        <w:t>决策程序：</w:t>
      </w:r>
      <w:r>
        <w:rPr>
          <w:rFonts w:hint="eastAsia" w:ascii="仿宋_GB2312" w:hAnsi="仿宋_GB2312" w:eastAsia="仿宋_GB2312" w:cs="仿宋_GB2312"/>
          <w:sz w:val="32"/>
          <w:szCs w:val="32"/>
          <w:shd w:val="clear" w:color="auto" w:fill="FFFFFF"/>
        </w:rPr>
        <w:t>四川省人民政府科学城办事处</w:t>
      </w:r>
      <w:r>
        <w:rPr>
          <w:rFonts w:hint="eastAsia" w:ascii="仿宋_GB2312" w:hAnsi="仿宋_GB2312" w:eastAsia="仿宋_GB2312" w:cs="仿宋_GB2312"/>
          <w:color w:val="000000"/>
          <w:sz w:val="32"/>
          <w:szCs w:val="32"/>
          <w:shd w:val="clear" w:color="auto" w:fill="FFFFFF"/>
          <w:lang w:val="zh-CN"/>
        </w:rPr>
        <w:t>部门绩效目标随年度预算纳入党委会集体决策范围（202</w:t>
      </w: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lang w:val="zh-CN"/>
        </w:rPr>
        <w:t>年公管部（科办）党委第</w:t>
      </w: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lang w:val="zh-CN"/>
        </w:rPr>
        <w:t>次会议），该</w:t>
      </w:r>
      <w:r>
        <w:rPr>
          <w:rFonts w:hint="eastAsia" w:ascii="仿宋_GB2312" w:hAnsi="仿宋_GB2312" w:eastAsia="仿宋_GB2312" w:cs="仿宋_GB2312"/>
          <w:color w:val="000000"/>
          <w:sz w:val="32"/>
          <w:szCs w:val="32"/>
          <w:shd w:val="clear" w:color="auto" w:fill="FFFFFF"/>
        </w:rPr>
        <w:t>项指</w:t>
      </w:r>
      <w:r>
        <w:rPr>
          <w:rFonts w:hint="eastAsia" w:ascii="仿宋_GB2312" w:hAnsi="仿宋_GB2312" w:eastAsia="仿宋_GB2312" w:cs="仿宋_GB2312"/>
          <w:sz w:val="32"/>
          <w:szCs w:val="32"/>
          <w:shd w:val="clear" w:color="auto" w:fill="FFFFFF"/>
        </w:rPr>
        <w:t>标得4分。</w:t>
      </w:r>
    </w:p>
    <w:p>
      <w:pPr>
        <w:snapToGrid w:val="0"/>
        <w:spacing w:line="560" w:lineRule="exact"/>
        <w:ind w:firstLine="642"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b/>
          <w:bCs/>
          <w:color w:val="000000"/>
          <w:sz w:val="32"/>
          <w:szCs w:val="32"/>
          <w:shd w:val="clear" w:color="auto" w:fill="FFFFFF"/>
          <w:lang w:val="zh-CN"/>
        </w:rPr>
        <w:t>目标设置：</w:t>
      </w:r>
      <w:r>
        <w:rPr>
          <w:rFonts w:hint="eastAsia" w:ascii="仿宋_GB2312" w:hAnsi="仿宋_GB2312" w:eastAsia="仿宋_GB2312" w:cs="仿宋_GB2312"/>
          <w:color w:val="000000"/>
          <w:sz w:val="32"/>
          <w:szCs w:val="32"/>
          <w:shd w:val="clear" w:color="auto" w:fill="FFFFFF"/>
          <w:lang w:val="zh-CN"/>
        </w:rPr>
        <w:t>202</w:t>
      </w: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lang w:val="zh-CN"/>
        </w:rPr>
        <w:t>年省政府科学城办事处项目绩效目标内容完整，细化量化，标准合理，预算匹配，符合部门职能及事业发展规划，</w:t>
      </w:r>
      <w:r>
        <w:rPr>
          <w:rFonts w:hint="eastAsia" w:ascii="仿宋_GB2312" w:hAnsi="仿宋_GB2312" w:eastAsia="仿宋_GB2312" w:cs="仿宋_GB2312"/>
          <w:sz w:val="32"/>
          <w:szCs w:val="32"/>
          <w:shd w:val="clear" w:color="auto" w:fill="FFFFFF"/>
        </w:rPr>
        <w:t>该项指标得4分。</w:t>
      </w:r>
    </w:p>
    <w:p>
      <w:pPr>
        <w:snapToGrid w:val="0"/>
        <w:spacing w:line="560" w:lineRule="exact"/>
        <w:ind w:firstLine="642" w:firstLineChars="200"/>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lang w:val="zh-CN"/>
        </w:rPr>
        <w:t>项目入库：</w:t>
      </w:r>
      <w:r>
        <w:rPr>
          <w:rFonts w:hint="eastAsia" w:ascii="仿宋_GB2312" w:hAnsi="仿宋_GB2312" w:eastAsia="仿宋_GB2312" w:cs="仿宋_GB2312"/>
          <w:color w:val="000000"/>
          <w:sz w:val="32"/>
          <w:szCs w:val="32"/>
          <w:shd w:val="clear" w:color="auto" w:fill="FFFFFF"/>
          <w:lang w:val="zh-CN"/>
        </w:rPr>
        <w:t>预算项目的设立履行了项目申报论证程序，与部门职能职责相符，预算测算清晰，</w:t>
      </w:r>
      <w:r>
        <w:rPr>
          <w:rFonts w:hint="eastAsia" w:ascii="仿宋_GB2312" w:hAnsi="仿宋_GB2312" w:eastAsia="仿宋_GB2312" w:cs="仿宋_GB2312"/>
          <w:sz w:val="32"/>
          <w:szCs w:val="32"/>
          <w:shd w:val="clear" w:color="auto" w:fill="FFFFFF"/>
        </w:rPr>
        <w:t>该项指标得4分。</w:t>
      </w:r>
    </w:p>
    <w:p>
      <w:pPr>
        <w:snapToGrid w:val="0"/>
        <w:spacing w:line="560" w:lineRule="exact"/>
        <w:ind w:firstLine="640" w:firstLineChars="200"/>
        <w:contextualSpacing/>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color w:val="000000"/>
          <w:sz w:val="32"/>
          <w:szCs w:val="32"/>
          <w:shd w:val="clear" w:color="auto" w:fill="FFFFFF"/>
        </w:rPr>
        <w:t>2.项目执行</w:t>
      </w:r>
      <w:r>
        <w:rPr>
          <w:rFonts w:hint="eastAsia" w:ascii="仿宋_GB2312" w:hAnsi="仿宋_GB2312" w:eastAsia="仿宋_GB2312" w:cs="仿宋_GB2312"/>
          <w:color w:val="000000"/>
          <w:sz w:val="32"/>
          <w:szCs w:val="32"/>
          <w:shd w:val="clear" w:color="auto" w:fill="FFFFFF"/>
          <w:lang w:val="zh-CN"/>
        </w:rPr>
        <w:t>。（</w:t>
      </w:r>
      <w:r>
        <w:rPr>
          <w:rFonts w:hint="eastAsia" w:ascii="仿宋_GB2312" w:hAnsi="仿宋_GB2312" w:eastAsia="仿宋_GB2312" w:cs="仿宋_GB2312"/>
          <w:sz w:val="32"/>
          <w:szCs w:val="32"/>
          <w:shd w:val="clear" w:color="auto" w:fill="FFFFFF"/>
        </w:rPr>
        <w:t>分值12分，自评12分）</w:t>
      </w:r>
    </w:p>
    <w:p>
      <w:pPr>
        <w:snapToGrid w:val="0"/>
        <w:spacing w:line="560" w:lineRule="exact"/>
        <w:ind w:firstLine="642"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b/>
          <w:bCs/>
          <w:color w:val="000000"/>
          <w:sz w:val="32"/>
          <w:szCs w:val="32"/>
          <w:shd w:val="clear" w:color="auto" w:fill="FFFFFF"/>
          <w:lang w:val="zh-CN"/>
        </w:rPr>
        <w:t>执行同向：</w:t>
      </w:r>
      <w:r>
        <w:rPr>
          <w:rFonts w:hint="eastAsia" w:ascii="仿宋_GB2312" w:hAnsi="仿宋_GB2312" w:eastAsia="仿宋_GB2312" w:cs="仿宋_GB2312"/>
          <w:color w:val="000000"/>
          <w:sz w:val="32"/>
          <w:szCs w:val="32"/>
          <w:shd w:val="clear" w:color="auto" w:fill="FFFFFF"/>
          <w:lang w:val="zh-CN"/>
        </w:rPr>
        <w:t>项目实际列支内容与项目绩效目标设置方向相符，根据《202</w:t>
      </w: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lang w:val="zh-CN"/>
        </w:rPr>
        <w:t>年省级部门预算绩效评价指标体系》，部门预算执行率</w:t>
      </w:r>
      <w:r>
        <w:rPr>
          <w:rFonts w:hint="eastAsia" w:ascii="仿宋_GB2312" w:hAnsi="仿宋_GB2312" w:eastAsia="仿宋_GB2312" w:cs="仿宋_GB2312"/>
          <w:color w:val="000000"/>
          <w:sz w:val="32"/>
          <w:szCs w:val="32"/>
          <w:shd w:val="clear" w:color="auto" w:fill="FFFFFF"/>
        </w:rPr>
        <w:t>9</w:t>
      </w:r>
      <w:r>
        <w:rPr>
          <w:rFonts w:hint="eastAsia" w:ascii="仿宋_GB2312" w:hAnsi="仿宋_GB2312" w:eastAsia="仿宋_GB2312" w:cs="仿宋_GB2312"/>
          <w:color w:val="000000"/>
          <w:sz w:val="32"/>
          <w:szCs w:val="32"/>
          <w:shd w:val="clear" w:color="auto" w:fill="FFFFFF"/>
          <w:lang w:val="en-US" w:eastAsia="zh-CN"/>
        </w:rPr>
        <w:t>8</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sz w:val="32"/>
          <w:szCs w:val="32"/>
          <w:shd w:val="clear" w:color="auto" w:fill="FFFFFF"/>
        </w:rPr>
        <w:t>该项指标得4分。</w:t>
      </w:r>
    </w:p>
    <w:p>
      <w:pPr>
        <w:snapToGrid w:val="0"/>
        <w:spacing w:line="560" w:lineRule="exact"/>
        <w:ind w:firstLine="642"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b/>
          <w:bCs/>
          <w:color w:val="000000"/>
          <w:sz w:val="32"/>
          <w:szCs w:val="32"/>
          <w:shd w:val="clear" w:color="auto" w:fill="FFFFFF"/>
          <w:lang w:val="zh-CN"/>
        </w:rPr>
        <w:t>项目调整：</w:t>
      </w:r>
      <w:r>
        <w:rPr>
          <w:rFonts w:hint="eastAsia" w:ascii="仿宋_GB2312" w:hAnsi="仿宋_GB2312" w:eastAsia="仿宋_GB2312" w:cs="仿宋_GB2312"/>
          <w:sz w:val="32"/>
          <w:szCs w:val="32"/>
          <w:shd w:val="clear" w:color="auto" w:fill="FFFFFF"/>
        </w:rPr>
        <w:t>202</w:t>
      </w: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年度</w:t>
      </w:r>
      <w:r>
        <w:rPr>
          <w:rFonts w:hint="eastAsia" w:ascii="仿宋_GB2312" w:hAnsi="仿宋_GB2312" w:eastAsia="仿宋_GB2312" w:cs="仿宋_GB2312"/>
          <w:sz w:val="32"/>
          <w:szCs w:val="32"/>
          <w:shd w:val="clear" w:color="auto" w:fill="FFFFFF"/>
          <w:lang w:val="zh-CN"/>
        </w:rPr>
        <w:t>不涉及项目调整，</w:t>
      </w:r>
      <w:r>
        <w:rPr>
          <w:rFonts w:hint="eastAsia" w:ascii="仿宋_GB2312" w:hAnsi="仿宋_GB2312" w:eastAsia="仿宋_GB2312" w:cs="仿宋_GB2312"/>
          <w:sz w:val="32"/>
          <w:szCs w:val="32"/>
          <w:shd w:val="clear" w:color="auto" w:fill="FFFFFF"/>
        </w:rPr>
        <w:t>该项指标得4分。</w:t>
      </w:r>
    </w:p>
    <w:p>
      <w:pPr>
        <w:snapToGrid w:val="0"/>
        <w:spacing w:line="560" w:lineRule="exact"/>
        <w:ind w:firstLine="642" w:firstLineChars="200"/>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lang w:val="zh-CN"/>
        </w:rPr>
        <w:t>执行结果：</w:t>
      </w:r>
      <w:r>
        <w:rPr>
          <w:rFonts w:hint="eastAsia" w:ascii="仿宋_GB2312" w:hAnsi="仿宋_GB2312" w:eastAsia="仿宋_GB2312" w:cs="仿宋_GB2312"/>
          <w:sz w:val="32"/>
          <w:szCs w:val="32"/>
          <w:shd w:val="clear" w:color="auto" w:fill="FFFFFF"/>
          <w:lang w:val="zh-CN"/>
        </w:rPr>
        <w:t>部门预算项目预算执行率为</w:t>
      </w:r>
      <w:r>
        <w:rPr>
          <w:rFonts w:hint="eastAsia" w:ascii="仿宋_GB2312" w:hAnsi="仿宋_GB2312" w:eastAsia="仿宋_GB2312" w:cs="仿宋_GB2312"/>
          <w:sz w:val="32"/>
          <w:szCs w:val="32"/>
          <w:shd w:val="clear" w:color="auto" w:fill="FFFFFF"/>
        </w:rPr>
        <w:t>9</w:t>
      </w: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zh-CN"/>
        </w:rPr>
        <w:t>，该</w:t>
      </w:r>
      <w:r>
        <w:rPr>
          <w:rFonts w:hint="eastAsia" w:ascii="仿宋_GB2312" w:hAnsi="仿宋_GB2312" w:eastAsia="仿宋_GB2312" w:cs="仿宋_GB2312"/>
          <w:sz w:val="32"/>
          <w:szCs w:val="32"/>
          <w:shd w:val="clear" w:color="auto" w:fill="FFFFFF"/>
        </w:rPr>
        <w:t>项指标得4分。</w:t>
      </w:r>
    </w:p>
    <w:p>
      <w:pPr>
        <w:snapToGrid w:val="0"/>
        <w:spacing w:line="560" w:lineRule="exact"/>
        <w:ind w:firstLine="640"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3.</w:t>
      </w:r>
      <w:r>
        <w:rPr>
          <w:rFonts w:hint="eastAsia" w:ascii="仿宋_GB2312" w:hAnsi="仿宋_GB2312" w:eastAsia="仿宋_GB2312" w:cs="仿宋_GB2312"/>
          <w:color w:val="000000"/>
          <w:sz w:val="32"/>
          <w:szCs w:val="32"/>
          <w:shd w:val="clear" w:color="auto" w:fill="FFFFFF"/>
          <w:lang w:val="zh-CN"/>
        </w:rPr>
        <w:t>目标实现。</w:t>
      </w:r>
      <w:r>
        <w:rPr>
          <w:rFonts w:hint="eastAsia" w:ascii="仿宋_GB2312" w:hAnsi="仿宋_GB2312" w:eastAsia="仿宋_GB2312" w:cs="仿宋_GB2312"/>
          <w:sz w:val="32"/>
          <w:szCs w:val="32"/>
          <w:shd w:val="clear" w:color="auto" w:fill="FFFFFF"/>
        </w:rPr>
        <w:t>（分值11分，自评10分）</w:t>
      </w:r>
    </w:p>
    <w:p>
      <w:pPr>
        <w:snapToGrid w:val="0"/>
        <w:spacing w:line="560" w:lineRule="exact"/>
        <w:ind w:firstLine="642"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b/>
          <w:bCs/>
          <w:color w:val="000000"/>
          <w:sz w:val="32"/>
          <w:szCs w:val="32"/>
          <w:shd w:val="clear" w:color="auto" w:fill="FFFFFF"/>
          <w:lang w:val="zh-CN"/>
        </w:rPr>
        <w:t>目标完成：</w:t>
      </w:r>
      <w:r>
        <w:rPr>
          <w:rFonts w:hint="eastAsia" w:ascii="仿宋_GB2312" w:hAnsi="仿宋_GB2312" w:eastAsia="仿宋_GB2312" w:cs="仿宋_GB2312"/>
          <w:color w:val="000000"/>
          <w:sz w:val="32"/>
          <w:szCs w:val="32"/>
          <w:shd w:val="clear" w:color="auto" w:fill="FFFFFF"/>
          <w:lang w:val="zh-CN"/>
        </w:rPr>
        <w:t>202</w:t>
      </w: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lang w:val="zh-CN"/>
        </w:rPr>
        <w:t>年省人民政府科学城办事处纳入绩效目标管理的特定目标类项目</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lang w:val="zh-CN"/>
        </w:rPr>
        <w:t>个，涉及预算</w:t>
      </w: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lang w:val="en-US" w:eastAsia="zh-CN"/>
        </w:rPr>
        <w:t>65</w:t>
      </w:r>
      <w:r>
        <w:rPr>
          <w:rFonts w:hint="eastAsia" w:ascii="仿宋_GB2312" w:hAnsi="仿宋_GB2312" w:eastAsia="仿宋_GB2312" w:cs="仿宋_GB2312"/>
          <w:color w:val="000000"/>
          <w:sz w:val="32"/>
          <w:szCs w:val="32"/>
          <w:shd w:val="clear" w:color="auto" w:fill="FFFFFF"/>
          <w:lang w:val="zh-CN"/>
        </w:rPr>
        <w:t>万元。包括：202</w:t>
      </w: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lang w:val="zh-CN"/>
        </w:rPr>
        <w:t>年医疗服务与保障能力提升（卫生健康人才培养）中央补助资金</w:t>
      </w:r>
      <w:r>
        <w:rPr>
          <w:rFonts w:hint="eastAsia" w:ascii="仿宋_GB2312" w:hAnsi="仿宋_GB2312" w:eastAsia="仿宋_GB2312" w:cs="仿宋_GB2312"/>
          <w:color w:val="000000"/>
          <w:sz w:val="32"/>
          <w:szCs w:val="32"/>
          <w:shd w:val="clear" w:color="auto" w:fill="FFFFFF"/>
        </w:rPr>
        <w:t>9.6万元,</w:t>
      </w:r>
      <w:r>
        <w:rPr>
          <w:rFonts w:hint="eastAsia" w:ascii="仿宋_GB2312" w:hAnsi="仿宋_GB2312" w:eastAsia="仿宋_GB2312" w:cs="仿宋_GB2312"/>
          <w:color w:val="000000"/>
          <w:sz w:val="32"/>
          <w:szCs w:val="32"/>
          <w:shd w:val="clear" w:color="auto" w:fill="FFFFFF"/>
          <w:lang w:val="zh-CN"/>
        </w:rPr>
        <w:t>主要用于</w:t>
      </w:r>
      <w:r>
        <w:rPr>
          <w:rFonts w:hint="eastAsia" w:ascii="仿宋_GB2312" w:hAnsi="仿宋_GB2312" w:eastAsia="仿宋_GB2312" w:cs="仿宋_GB2312"/>
          <w:color w:val="auto"/>
          <w:sz w:val="32"/>
          <w:szCs w:val="32"/>
          <w:shd w:val="clear" w:color="auto" w:fill="FFFFFF"/>
          <w:lang w:val="zh-CN"/>
        </w:rPr>
        <w:t>万名医师支援农村工程</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年卫生健康省级补助资金100万元，主要用于</w:t>
      </w:r>
      <w:r>
        <w:rPr>
          <w:rFonts w:hint="eastAsia" w:ascii="仿宋_GB2312" w:hAnsi="仿宋_GB2312" w:eastAsia="仿宋_GB2312" w:cs="仿宋_GB2312"/>
          <w:sz w:val="32"/>
          <w:szCs w:val="32"/>
          <w:lang w:eastAsia="zh-CN"/>
        </w:rPr>
        <w:t>医疗服务能力提升的临床重点专科建设</w:t>
      </w:r>
      <w:r>
        <w:rPr>
          <w:rFonts w:hint="eastAsia" w:ascii="仿宋_GB2312" w:hAnsi="仿宋_GB2312" w:eastAsia="仿宋_GB2312" w:cs="仿宋_GB2312"/>
          <w:sz w:val="32"/>
          <w:szCs w:val="32"/>
        </w:rPr>
        <w:t>；2025年重大公共卫生服务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疾病预防控制部分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中央补助资金1</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w:t>
      </w:r>
      <w:r>
        <w:rPr>
          <w:rFonts w:hint="eastAsia" w:ascii="仿宋_GB2312" w:hAnsi="仿宋_GB2312" w:eastAsia="仿宋_GB2312" w:cs="仿宋_GB2312"/>
          <w:sz w:val="32"/>
          <w:szCs w:val="32"/>
          <w:lang w:val="en-US" w:eastAsia="zh-CN"/>
        </w:rPr>
        <w:t>慢性病防治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2025年医疗服务与保障能力提升（疾控体系建设方面）中央补助资金45万元，</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val="en-US" w:eastAsia="zh-CN"/>
        </w:rPr>
        <w:t>卫生监督机构能力建设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该项指标得4分。</w:t>
      </w:r>
    </w:p>
    <w:p>
      <w:pPr>
        <w:snapToGrid w:val="0"/>
        <w:spacing w:line="560" w:lineRule="exact"/>
        <w:ind w:firstLine="642" w:firstLineChars="20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b/>
          <w:bCs/>
          <w:color w:val="000000"/>
          <w:sz w:val="32"/>
          <w:szCs w:val="32"/>
          <w:shd w:val="clear" w:color="auto" w:fill="FFFFFF"/>
          <w:lang w:val="zh-CN"/>
        </w:rPr>
        <w:t>目标偏离：</w:t>
      </w:r>
      <w:r>
        <w:rPr>
          <w:rFonts w:hint="eastAsia" w:ascii="仿宋_GB2312" w:hAnsi="仿宋_GB2312" w:eastAsia="仿宋_GB2312" w:cs="仿宋_GB2312"/>
          <w:sz w:val="32"/>
          <w:szCs w:val="32"/>
          <w:shd w:val="clear" w:color="auto" w:fill="FFFFFF"/>
          <w:lang w:val="zh-CN"/>
        </w:rPr>
        <w:t>部门预算项目绩效目标数量指标实现程度与预期目标的偏离度较低，但部分指标可进一步完善，</w:t>
      </w:r>
      <w:r>
        <w:rPr>
          <w:rFonts w:hint="eastAsia" w:ascii="仿宋_GB2312" w:hAnsi="仿宋_GB2312" w:eastAsia="仿宋_GB2312" w:cs="仿宋_GB2312"/>
          <w:sz w:val="32"/>
          <w:szCs w:val="32"/>
          <w:shd w:val="clear" w:color="auto" w:fill="FFFFFF"/>
        </w:rPr>
        <w:t>该项指标得3.5分。</w:t>
      </w:r>
    </w:p>
    <w:p>
      <w:pPr>
        <w:snapToGrid w:val="0"/>
        <w:spacing w:line="560" w:lineRule="exact"/>
        <w:ind w:firstLine="642"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color w:val="000000"/>
          <w:sz w:val="32"/>
          <w:szCs w:val="32"/>
          <w:shd w:val="clear" w:color="auto" w:fill="FFFFFF"/>
          <w:lang w:val="zh-CN"/>
        </w:rPr>
        <w:t>实现效果</w:t>
      </w:r>
      <w:r>
        <w:rPr>
          <w:rFonts w:hint="eastAsia" w:ascii="仿宋_GB2312" w:hAnsi="仿宋_GB2312" w:eastAsia="仿宋_GB2312" w:cs="仿宋_GB2312"/>
          <w:color w:val="000000"/>
          <w:sz w:val="32"/>
          <w:szCs w:val="32"/>
          <w:shd w:val="clear" w:color="auto" w:fill="FFFFFF"/>
          <w:lang w:val="zh-CN"/>
        </w:rPr>
        <w:t>：部门预算项目绩效目标效益指标实施效果较好，部分指标实施效果有待提升，</w:t>
      </w:r>
      <w:r>
        <w:rPr>
          <w:rFonts w:hint="eastAsia" w:ascii="仿宋_GB2312" w:hAnsi="仿宋_GB2312" w:eastAsia="仿宋_GB2312" w:cs="仿宋_GB2312"/>
          <w:sz w:val="32"/>
          <w:szCs w:val="32"/>
          <w:shd w:val="clear" w:color="auto" w:fill="FFFFFF"/>
        </w:rPr>
        <w:t>该项指标得2.5分。</w:t>
      </w:r>
    </w:p>
    <w:p>
      <w:pPr>
        <w:widowControl/>
        <w:numPr>
          <w:ilvl w:val="0"/>
          <w:numId w:val="0"/>
        </w:numPr>
        <w:snapToGrid w:val="0"/>
        <w:spacing w:line="560" w:lineRule="exact"/>
        <w:ind w:firstLine="617" w:firstLineChars="193"/>
        <w:rPr>
          <w:rFonts w:hint="eastAsia" w:ascii="CESI楷体-GB2312" w:hAnsi="CESI楷体-GB2312" w:eastAsia="CESI楷体-GB2312" w:cs="CESI楷体-GB2312"/>
          <w:color w:val="000000"/>
          <w:sz w:val="32"/>
          <w:szCs w:val="32"/>
          <w:shd w:val="clear" w:color="auto" w:fill="FFFFFF"/>
          <w:lang w:val="zh-CN"/>
        </w:rPr>
      </w:pPr>
      <w:r>
        <w:rPr>
          <w:rFonts w:hint="eastAsia" w:ascii="CESI楷体-GB2312" w:hAnsi="CESI楷体-GB2312" w:eastAsia="CESI楷体-GB2312" w:cs="CESI楷体-GB2312"/>
          <w:color w:val="000000"/>
          <w:sz w:val="32"/>
          <w:szCs w:val="32"/>
          <w:shd w:val="clear" w:color="auto" w:fill="FFFFFF"/>
          <w:lang w:val="zh-CN"/>
        </w:rPr>
        <w:t>㈢绩效结果应用情况</w:t>
      </w:r>
    </w:p>
    <w:p>
      <w:pPr>
        <w:snapToGrid w:val="0"/>
        <w:spacing w:line="560" w:lineRule="exact"/>
        <w:ind w:firstLine="642" w:firstLineChars="200"/>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b/>
          <w:bCs/>
          <w:color w:val="000000"/>
          <w:sz w:val="32"/>
          <w:szCs w:val="32"/>
          <w:shd w:val="clear" w:color="auto" w:fill="FFFFFF"/>
          <w:lang w:val="zh-CN"/>
        </w:rPr>
        <w:t>内部应用情况：</w:t>
      </w:r>
      <w:r>
        <w:rPr>
          <w:rFonts w:hint="eastAsia" w:ascii="仿宋_GB2312" w:hAnsi="仿宋_GB2312" w:eastAsia="仿宋_GB2312" w:cs="仿宋_GB2312"/>
          <w:color w:val="000000"/>
          <w:sz w:val="32"/>
          <w:szCs w:val="32"/>
          <w:shd w:val="clear" w:color="auto" w:fill="FFFFFF"/>
          <w:lang w:val="zh-CN"/>
        </w:rPr>
        <w:t>根据《公共事务管理部预算管理实施细则》（公管〔2017〕71号）将绩效考核结果与项目预算挂钩。</w:t>
      </w:r>
    </w:p>
    <w:p>
      <w:pPr>
        <w:snapToGrid w:val="0"/>
        <w:spacing w:line="560" w:lineRule="exact"/>
        <w:ind w:firstLine="642" w:firstLineChars="200"/>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b/>
          <w:bCs/>
          <w:color w:val="000000"/>
          <w:sz w:val="32"/>
          <w:szCs w:val="32"/>
          <w:shd w:val="clear" w:color="auto" w:fill="FFFFFF"/>
          <w:lang w:val="zh-CN"/>
        </w:rPr>
        <w:t>信息公开情况：</w:t>
      </w:r>
      <w:r>
        <w:rPr>
          <w:rFonts w:hint="eastAsia" w:ascii="仿宋_GB2312" w:hAnsi="仿宋_GB2312" w:eastAsia="仿宋_GB2312" w:cs="仿宋_GB2312"/>
          <w:color w:val="000000"/>
          <w:sz w:val="32"/>
          <w:szCs w:val="32"/>
          <w:shd w:val="clear" w:color="auto" w:fill="FFFFFF"/>
          <w:lang w:val="zh-CN"/>
        </w:rPr>
        <w:t>严格按照规定将绩效目标随部门年初预算同步公开，按规定将绩效目标完成情况、部门整体支出绩效自评报告等内容随部门年终决算同步公开。</w:t>
      </w:r>
    </w:p>
    <w:p>
      <w:pPr>
        <w:snapToGrid w:val="0"/>
        <w:spacing w:line="560"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color w:val="000000"/>
          <w:sz w:val="32"/>
          <w:szCs w:val="32"/>
          <w:shd w:val="clear" w:color="auto" w:fill="FFFFFF"/>
          <w:lang w:val="zh-CN"/>
        </w:rPr>
        <w:t>整改反馈情况：</w:t>
      </w:r>
      <w:r>
        <w:rPr>
          <w:rFonts w:hint="eastAsia" w:ascii="仿宋_GB2312" w:hAnsi="仿宋_GB2312" w:eastAsia="仿宋_GB2312" w:cs="仿宋_GB2312"/>
          <w:sz w:val="32"/>
          <w:szCs w:val="32"/>
        </w:rPr>
        <w:t>无。</w:t>
      </w:r>
    </w:p>
    <w:p>
      <w:pPr>
        <w:widowControl/>
        <w:snapToGrid w:val="0"/>
        <w:spacing w:line="560" w:lineRule="exact"/>
        <w:ind w:firstLine="640" w:firstLineChars="200"/>
        <w:contextualSpacing/>
        <w:rPr>
          <w:rFonts w:hint="eastAsia" w:ascii="CESI黑体-GB2312" w:hAnsi="CESI黑体-GB2312" w:eastAsia="CESI黑体-GB2312" w:cs="CESI黑体-GB2312"/>
          <w:color w:val="000000"/>
          <w:sz w:val="32"/>
          <w:szCs w:val="32"/>
          <w:shd w:val="clear" w:color="auto" w:fill="FFFFFF"/>
        </w:rPr>
      </w:pPr>
      <w:r>
        <w:rPr>
          <w:rFonts w:hint="eastAsia" w:ascii="CESI黑体-GB2312" w:hAnsi="CESI黑体-GB2312" w:eastAsia="CESI黑体-GB2312" w:cs="CESI黑体-GB2312"/>
          <w:color w:val="000000"/>
          <w:sz w:val="32"/>
          <w:szCs w:val="32"/>
          <w:shd w:val="clear" w:color="auto" w:fill="FFFFFF"/>
        </w:rPr>
        <w:t>四、评价结论及建议</w:t>
      </w:r>
    </w:p>
    <w:p>
      <w:pPr>
        <w:pStyle w:val="27"/>
        <w:widowControl/>
        <w:adjustRightInd w:val="0"/>
        <w:snapToGrid w:val="0"/>
        <w:spacing w:line="560" w:lineRule="exact"/>
        <w:ind w:firstLine="617" w:firstLineChars="193"/>
        <w:rPr>
          <w:rFonts w:hint="eastAsia" w:ascii="CESI楷体-GB2312" w:hAnsi="CESI楷体-GB2312" w:eastAsia="CESI楷体-GB2312" w:cs="CESI楷体-GB2312"/>
          <w:snapToGrid w:val="0"/>
          <w:color w:val="000000"/>
          <w:kern w:val="0"/>
          <w:sz w:val="32"/>
          <w:szCs w:val="32"/>
          <w:shd w:val="clear" w:color="auto" w:fill="FFFFFF"/>
          <w:lang w:val="zh-CN"/>
        </w:rPr>
      </w:pPr>
      <w:r>
        <w:rPr>
          <w:rFonts w:hint="eastAsia" w:ascii="CESI楷体-GB2312" w:hAnsi="CESI楷体-GB2312" w:eastAsia="CESI楷体-GB2312" w:cs="CESI楷体-GB2312"/>
          <w:snapToGrid w:val="0"/>
          <w:color w:val="000000"/>
          <w:kern w:val="0"/>
          <w:sz w:val="32"/>
          <w:szCs w:val="32"/>
          <w:shd w:val="clear" w:color="auto" w:fill="FFFFFF"/>
          <w:lang w:val="zh-CN"/>
        </w:rPr>
        <w:t>㈠评价结论</w:t>
      </w:r>
    </w:p>
    <w:p>
      <w:pPr>
        <w:pStyle w:val="27"/>
        <w:widowControl/>
        <w:adjustRightInd w:val="0"/>
        <w:snapToGrid w:val="0"/>
        <w:spacing w:line="560" w:lineRule="exact"/>
        <w:ind w:firstLine="617" w:firstLineChars="193"/>
        <w:rPr>
          <w:rFonts w:hint="eastAsia" w:ascii="CESI仿宋-GB2312" w:hAnsi="CESI仿宋-GB2312" w:eastAsia="CESI仿宋-GB2312" w:cs="CESI仿宋-GB2312"/>
          <w:snapToGrid w:val="0"/>
          <w:kern w:val="0"/>
          <w:sz w:val="32"/>
          <w:szCs w:val="32"/>
          <w:shd w:val="clear" w:color="auto" w:fill="FFFFFF"/>
        </w:rPr>
      </w:pPr>
      <w:r>
        <w:rPr>
          <w:rFonts w:hint="eastAsia" w:ascii="CESI仿宋-GB2312" w:hAnsi="CESI仿宋-GB2312" w:eastAsia="CESI仿宋-GB2312" w:cs="CESI仿宋-GB2312"/>
          <w:snapToGrid w:val="0"/>
          <w:kern w:val="0"/>
          <w:sz w:val="32"/>
          <w:szCs w:val="32"/>
          <w:shd w:val="clear" w:color="auto" w:fill="FFFFFF"/>
        </w:rPr>
        <w:t>科学城办事处管理制度健全，管理规范，预算编制及执行情况</w:t>
      </w:r>
      <w:r>
        <w:rPr>
          <w:rFonts w:hint="eastAsia" w:ascii="CESI仿宋-GB2312" w:hAnsi="CESI仿宋-GB2312" w:eastAsia="CESI仿宋-GB2312" w:cs="CESI仿宋-GB2312"/>
          <w:snapToGrid w:val="0"/>
          <w:kern w:val="0"/>
          <w:sz w:val="32"/>
          <w:szCs w:val="32"/>
          <w:shd w:val="clear" w:color="auto" w:fill="FFFFFF"/>
          <w:lang w:eastAsia="zh-CN"/>
        </w:rPr>
        <w:t>良好</w:t>
      </w:r>
      <w:r>
        <w:rPr>
          <w:rFonts w:hint="eastAsia" w:ascii="CESI仿宋-GB2312" w:hAnsi="CESI仿宋-GB2312" w:eastAsia="CESI仿宋-GB2312" w:cs="CESI仿宋-GB2312"/>
          <w:snapToGrid w:val="0"/>
          <w:kern w:val="0"/>
          <w:sz w:val="32"/>
          <w:szCs w:val="32"/>
          <w:shd w:val="clear" w:color="auto" w:fill="FFFFFF"/>
        </w:rPr>
        <w:t>，整体支出合规，资产管理到位；我们高度重视自身建设和能力提升，全方位履行政府职能，为辖区居民营造出优质的社会环境。根据《财政厅关于开展省级部门预算绩效自评工作的通知》（川财绩</w:t>
      </w:r>
      <w:r>
        <w:rPr>
          <w:rFonts w:hint="eastAsia" w:ascii="CESI仿宋-GB2312" w:hAnsi="CESI仿宋-GB2312" w:eastAsia="CESI仿宋-GB2312" w:cs="CESI仿宋-GB2312"/>
          <w:snapToGrid w:val="0"/>
          <w:sz w:val="32"/>
          <w:szCs w:val="32"/>
          <w:shd w:val="clear" w:color="auto" w:fill="FDFEFF"/>
        </w:rPr>
        <w:t>〔</w:t>
      </w:r>
      <w:r>
        <w:rPr>
          <w:rFonts w:hint="eastAsia" w:ascii="CESI仿宋-GB2312" w:hAnsi="CESI仿宋-GB2312" w:eastAsia="CESI仿宋-GB2312" w:cs="CESI仿宋-GB2312"/>
          <w:snapToGrid w:val="0"/>
          <w:kern w:val="0"/>
          <w:sz w:val="32"/>
          <w:szCs w:val="32"/>
          <w:shd w:val="clear" w:color="auto" w:fill="FFFFFF"/>
        </w:rPr>
        <w:t>2025</w:t>
      </w:r>
      <w:r>
        <w:rPr>
          <w:rFonts w:hint="eastAsia" w:ascii="CESI仿宋-GB2312" w:hAnsi="CESI仿宋-GB2312" w:eastAsia="CESI仿宋-GB2312" w:cs="CESI仿宋-GB2312"/>
          <w:snapToGrid w:val="0"/>
          <w:sz w:val="32"/>
          <w:szCs w:val="32"/>
          <w:shd w:val="clear" w:color="auto" w:fill="FDFEFF"/>
        </w:rPr>
        <w:t>〕</w:t>
      </w:r>
      <w:r>
        <w:rPr>
          <w:rFonts w:hint="eastAsia" w:ascii="CESI仿宋-GB2312" w:hAnsi="CESI仿宋-GB2312" w:eastAsia="CESI仿宋-GB2312" w:cs="CESI仿宋-GB2312"/>
          <w:snapToGrid w:val="0"/>
          <w:sz w:val="32"/>
          <w:szCs w:val="32"/>
          <w:shd w:val="clear" w:color="auto" w:fill="FDFEFF"/>
          <w:lang w:val="en-US" w:eastAsia="zh-CN"/>
        </w:rPr>
        <w:t>1</w:t>
      </w:r>
      <w:r>
        <w:rPr>
          <w:rFonts w:hint="eastAsia" w:ascii="CESI仿宋-GB2312" w:hAnsi="CESI仿宋-GB2312" w:eastAsia="CESI仿宋-GB2312" w:cs="CESI仿宋-GB2312"/>
          <w:snapToGrid w:val="0"/>
          <w:kern w:val="0"/>
          <w:sz w:val="32"/>
          <w:szCs w:val="32"/>
          <w:shd w:val="clear" w:color="auto" w:fill="FFFFFF"/>
        </w:rPr>
        <w:t>4号）文件相关要求，四川省人民政府科学城办事处对本部门20</w:t>
      </w:r>
      <w:r>
        <w:rPr>
          <w:rFonts w:hint="eastAsia" w:ascii="CESI仿宋-GB2312" w:hAnsi="CESI仿宋-GB2312" w:eastAsia="CESI仿宋-GB2312" w:cs="CESI仿宋-GB2312"/>
          <w:snapToGrid w:val="0"/>
          <w:color w:val="auto"/>
          <w:kern w:val="0"/>
          <w:sz w:val="32"/>
          <w:szCs w:val="32"/>
          <w:shd w:val="clear" w:color="auto" w:fill="FFFFFF"/>
        </w:rPr>
        <w:t>2</w:t>
      </w:r>
      <w:r>
        <w:rPr>
          <w:rFonts w:hint="eastAsia" w:ascii="CESI仿宋-GB2312" w:hAnsi="CESI仿宋-GB2312" w:eastAsia="CESI仿宋-GB2312" w:cs="CESI仿宋-GB2312"/>
          <w:snapToGrid w:val="0"/>
          <w:color w:val="auto"/>
          <w:kern w:val="0"/>
          <w:sz w:val="32"/>
          <w:szCs w:val="32"/>
          <w:shd w:val="clear" w:color="auto" w:fill="FFFFFF"/>
          <w:lang w:val="en-US" w:eastAsia="zh-CN"/>
        </w:rPr>
        <w:t>5</w:t>
      </w:r>
      <w:r>
        <w:rPr>
          <w:rFonts w:hint="eastAsia" w:ascii="CESI仿宋-GB2312" w:hAnsi="CESI仿宋-GB2312" w:eastAsia="CESI仿宋-GB2312" w:cs="CESI仿宋-GB2312"/>
          <w:snapToGrid w:val="0"/>
          <w:color w:val="auto"/>
          <w:kern w:val="0"/>
          <w:sz w:val="32"/>
          <w:szCs w:val="32"/>
          <w:shd w:val="clear" w:color="auto" w:fill="FFFFFF"/>
        </w:rPr>
        <w:t>年度整体绩效情况开展了自评，自评体系总分100分，经逐条考核，我单位自评得分98.</w:t>
      </w:r>
      <w:r>
        <w:rPr>
          <w:rFonts w:hint="eastAsia" w:ascii="CESI仿宋-GB2312" w:hAnsi="CESI仿宋-GB2312" w:eastAsia="CESI仿宋-GB2312" w:cs="CESI仿宋-GB2312"/>
          <w:snapToGrid w:val="0"/>
          <w:color w:val="auto"/>
          <w:kern w:val="0"/>
          <w:sz w:val="32"/>
          <w:szCs w:val="32"/>
          <w:shd w:val="clear" w:color="auto" w:fill="FFFFFF"/>
          <w:lang w:val="en-US" w:eastAsia="zh-CN"/>
        </w:rPr>
        <w:t>85</w:t>
      </w:r>
      <w:r>
        <w:rPr>
          <w:rFonts w:hint="eastAsia" w:ascii="CESI仿宋-GB2312" w:hAnsi="CESI仿宋-GB2312" w:eastAsia="CESI仿宋-GB2312" w:cs="CESI仿宋-GB2312"/>
          <w:snapToGrid w:val="0"/>
          <w:color w:val="auto"/>
          <w:kern w:val="0"/>
          <w:sz w:val="32"/>
          <w:szCs w:val="32"/>
          <w:shd w:val="clear" w:color="auto" w:fill="FFFFFF"/>
        </w:rPr>
        <w:t>分。</w:t>
      </w:r>
    </w:p>
    <w:p>
      <w:pPr>
        <w:widowControl/>
        <w:snapToGrid w:val="0"/>
        <w:spacing w:line="560" w:lineRule="exact"/>
        <w:ind w:firstLine="617" w:firstLineChars="193"/>
        <w:rPr>
          <w:rFonts w:hint="eastAsia" w:ascii="CESI楷体-GB2312" w:hAnsi="CESI楷体-GB2312" w:eastAsia="CESI楷体-GB2312" w:cs="CESI楷体-GB2312"/>
          <w:color w:val="000000"/>
          <w:sz w:val="32"/>
          <w:szCs w:val="32"/>
          <w:shd w:val="clear" w:color="auto" w:fill="FFFFFF"/>
          <w:lang w:val="zh-CN"/>
        </w:rPr>
      </w:pPr>
      <w:r>
        <w:rPr>
          <w:rFonts w:hint="eastAsia" w:ascii="CESI楷体-GB2312" w:hAnsi="CESI楷体-GB2312" w:eastAsia="CESI楷体-GB2312" w:cs="CESI楷体-GB2312"/>
          <w:color w:val="000000"/>
          <w:sz w:val="32"/>
          <w:szCs w:val="32"/>
          <w:shd w:val="clear" w:color="auto" w:fill="FFFFFF"/>
          <w:lang w:val="zh-CN"/>
        </w:rPr>
        <w:t>㈡存在问题</w:t>
      </w:r>
    </w:p>
    <w:p>
      <w:pPr>
        <w:widowControl/>
        <w:snapToGrid w:val="0"/>
        <w:spacing w:line="560" w:lineRule="exact"/>
        <w:ind w:firstLine="608" w:firstLineChars="200"/>
        <w:contextualSpacing/>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一是预算绩效管理工作有待进一步加强。</w:t>
      </w:r>
    </w:p>
    <w:p>
      <w:pPr>
        <w:widowControl/>
        <w:snapToGrid w:val="0"/>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二是预算执行方面</w:t>
      </w:r>
      <w:r>
        <w:rPr>
          <w:rFonts w:hint="eastAsia" w:ascii="仿宋_GB2312" w:hAnsi="仿宋_GB2312" w:eastAsia="仿宋_GB2312" w:cs="仿宋_GB2312"/>
          <w:sz w:val="32"/>
          <w:szCs w:val="32"/>
          <w:lang w:eastAsia="zh-CN"/>
        </w:rPr>
        <w:t>阶段性</w:t>
      </w:r>
      <w:r>
        <w:rPr>
          <w:rFonts w:hint="eastAsia" w:ascii="仿宋_GB2312" w:hAnsi="仿宋_GB2312" w:eastAsia="仿宋_GB2312" w:cs="仿宋_GB2312"/>
          <w:sz w:val="32"/>
          <w:szCs w:val="32"/>
        </w:rPr>
        <w:t>执行进度</w:t>
      </w:r>
      <w:r>
        <w:rPr>
          <w:rFonts w:hint="eastAsia" w:ascii="仿宋_GB2312" w:hAnsi="仿宋_GB2312" w:eastAsia="仿宋_GB2312" w:cs="仿宋_GB2312"/>
          <w:sz w:val="32"/>
          <w:szCs w:val="32"/>
          <w:lang w:eastAsia="zh-CN"/>
        </w:rPr>
        <w:t>略</w:t>
      </w:r>
      <w:r>
        <w:rPr>
          <w:rFonts w:hint="eastAsia" w:ascii="仿宋_GB2312" w:hAnsi="仿宋_GB2312" w:eastAsia="仿宋_GB2312" w:cs="仿宋_GB2312"/>
          <w:sz w:val="32"/>
          <w:szCs w:val="32"/>
        </w:rPr>
        <w:t>滞后。</w:t>
      </w:r>
    </w:p>
    <w:p>
      <w:pPr>
        <w:widowControl/>
        <w:snapToGrid w:val="0"/>
        <w:spacing w:line="560" w:lineRule="exact"/>
        <w:ind w:firstLine="617" w:firstLineChars="193"/>
        <w:rPr>
          <w:rFonts w:hint="eastAsia" w:ascii="CESI楷体-GB2312" w:hAnsi="CESI楷体-GB2312" w:eastAsia="CESI楷体-GB2312" w:cs="CESI楷体-GB2312"/>
          <w:color w:val="000000"/>
          <w:sz w:val="32"/>
          <w:szCs w:val="32"/>
          <w:shd w:val="clear" w:color="auto" w:fill="FFFFFF"/>
          <w:lang w:val="zh-CN"/>
        </w:rPr>
      </w:pPr>
      <w:r>
        <w:rPr>
          <w:rFonts w:hint="eastAsia" w:ascii="CESI楷体-GB2312" w:hAnsi="CESI楷体-GB2312" w:eastAsia="CESI楷体-GB2312" w:cs="CESI楷体-GB2312"/>
          <w:color w:val="000000"/>
          <w:sz w:val="32"/>
          <w:szCs w:val="32"/>
          <w:shd w:val="clear" w:color="auto" w:fill="FFFFFF"/>
          <w:lang w:val="zh-CN"/>
        </w:rPr>
        <w:t>㈢改进建议</w:t>
      </w:r>
      <w:bookmarkStart w:id="51" w:name="_Hlk110546638"/>
    </w:p>
    <w:p>
      <w:pPr>
        <w:spacing w:line="560" w:lineRule="exact"/>
        <w:ind w:firstLine="642" w:firstLineChars="200"/>
        <w:contextualSpacing/>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问题一：预算绩效管理工作有待进一步加强。</w:t>
      </w:r>
    </w:p>
    <w:p>
      <w:pPr>
        <w:spacing w:line="560" w:lineRule="exact"/>
        <w:ind w:firstLine="640" w:firstLineChars="200"/>
        <w:contextualSpacing/>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将进一步强化绩效目标的前期编制工作，绩效目标编制是绩效管理工作的基础和起点，各业务部门与财务部门协同配合，确保部门横向和纵向信息沟通顺畅，提高目标编制的科学合理性、准确性、完整性、可执行性，使绩效目标能够合理引导并约束项目执行。</w:t>
      </w:r>
    </w:p>
    <w:p>
      <w:pPr>
        <w:spacing w:line="560" w:lineRule="exact"/>
        <w:ind w:firstLine="642" w:firstLineChars="200"/>
        <w:contextualSpacing/>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问题二：预算执行方面阶段性执行进度略滞后。</w:t>
      </w:r>
    </w:p>
    <w:p>
      <w:pPr>
        <w:spacing w:line="560" w:lineRule="exact"/>
        <w:ind w:firstLine="640" w:firstLineChars="200"/>
        <w:contextualSpacing/>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将进一步加强绩效运行监控工作，动态调整目标及预算。绩效运行监控是全过程预算绩效管理体系的重要内容，是提高预算执行率和资金使用效益的有效抓手。高度重视绩效运行监控工作，认真履行预算绩效管理主体责任，对绩效目标实现程度和预算执行进度实施全覆盖、全时段“双监控”，通过绩效运行监控及时发现执行进度滞后等问题，并迅速启动干预机制，确保绩效目标顺利</w:t>
      </w:r>
      <w:r>
        <w:rPr>
          <w:rFonts w:hint="eastAsia" w:ascii="仿宋_GB2312" w:hAnsi="仿宋_GB2312" w:eastAsia="仿宋_GB2312" w:cs="仿宋_GB2312"/>
          <w:color w:val="auto"/>
          <w:sz w:val="32"/>
          <w:szCs w:val="32"/>
          <w:lang w:eastAsia="zh-CN"/>
        </w:rPr>
        <w:t>完</w:t>
      </w:r>
      <w:r>
        <w:rPr>
          <w:rFonts w:hint="eastAsia" w:ascii="仿宋_GB2312" w:hAnsi="仿宋_GB2312" w:eastAsia="仿宋_GB2312" w:cs="仿宋_GB2312"/>
          <w:color w:val="auto"/>
          <w:sz w:val="32"/>
          <w:szCs w:val="32"/>
        </w:rPr>
        <w:t>成</w:t>
      </w:r>
      <w:r>
        <w:rPr>
          <w:rFonts w:hint="eastAsia" w:ascii="仿宋_GB2312" w:hAnsi="仿宋_GB2312" w:eastAsia="仿宋_GB2312" w:cs="仿宋_GB2312"/>
          <w:color w:val="auto"/>
          <w:sz w:val="32"/>
          <w:szCs w:val="32"/>
          <w:lang w:eastAsia="zh-CN"/>
        </w:rPr>
        <w:t>。</w:t>
      </w:r>
    </w:p>
    <w:bookmarkEnd w:id="51"/>
    <w:p>
      <w:pPr>
        <w:spacing w:line="560" w:lineRule="exact"/>
        <w:contextualSpacing/>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sz w:val="32"/>
          <w:szCs w:val="32"/>
          <w:shd w:val="clear" w:color="auto" w:fill="FFFFFF"/>
        </w:rPr>
        <w:t>附表：1.</w:t>
      </w:r>
      <w:r>
        <w:rPr>
          <w:rFonts w:hint="eastAsia" w:ascii="仿宋_GB2312" w:hAnsi="仿宋_GB2312" w:eastAsia="仿宋_GB2312" w:cs="仿宋_GB2312"/>
          <w:sz w:val="32"/>
          <w:szCs w:val="32"/>
          <w:lang w:bidi="ar"/>
        </w:rPr>
        <w:t>部门预算绩效自评打分表</w:t>
      </w:r>
    </w:p>
    <w:p>
      <w:pPr>
        <w:spacing w:line="560" w:lineRule="exact"/>
        <w:ind w:firstLine="1600" w:firstLineChars="5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lang w:bidi="ar"/>
        </w:rPr>
        <w:t>2.</w:t>
      </w:r>
      <w:r>
        <w:rPr>
          <w:rFonts w:hint="eastAsia" w:ascii="仿宋_GB2312" w:hAnsi="仿宋_GB2312" w:eastAsia="仿宋_GB2312" w:cs="仿宋_GB2312"/>
          <w:color w:val="000000"/>
          <w:sz w:val="32"/>
          <w:szCs w:val="32"/>
          <w:shd w:val="clear" w:color="auto" w:fill="FFFFFF"/>
        </w:rPr>
        <w:t>部门整体</w:t>
      </w:r>
      <w:r>
        <w:rPr>
          <w:rFonts w:hint="eastAsia" w:ascii="仿宋_GB2312" w:hAnsi="仿宋_GB2312" w:eastAsia="仿宋_GB2312" w:cs="仿宋_GB2312"/>
          <w:color w:val="000000"/>
          <w:sz w:val="32"/>
          <w:szCs w:val="32"/>
          <w:shd w:val="clear" w:color="auto" w:fill="FFFFFF"/>
          <w:lang w:eastAsia="zh-CN"/>
        </w:rPr>
        <w:t>支出</w:t>
      </w:r>
      <w:r>
        <w:rPr>
          <w:rFonts w:hint="eastAsia" w:ascii="仿宋_GB2312" w:hAnsi="仿宋_GB2312" w:eastAsia="仿宋_GB2312" w:cs="仿宋_GB2312"/>
          <w:color w:val="000000"/>
          <w:sz w:val="32"/>
          <w:szCs w:val="32"/>
          <w:shd w:val="clear" w:color="auto" w:fill="FFFFFF"/>
        </w:rPr>
        <w:t>绩效目标完成情况自评表</w:t>
      </w:r>
    </w:p>
    <w:p>
      <w:pPr>
        <w:spacing w:line="560" w:lineRule="exact"/>
        <w:ind w:firstLine="1600" w:firstLineChars="500"/>
        <w:rPr>
          <w:rFonts w:hint="eastAsia" w:ascii="仿宋_GB2312" w:hAnsi="仿宋_GB2312" w:eastAsia="仿宋_GB2312" w:cs="仿宋_GB2312"/>
          <w:sz w:val="32"/>
          <w:szCs w:val="32"/>
          <w:lang w:bidi="ar"/>
        </w:rPr>
        <w:sectPr>
          <w:pgSz w:w="11962" w:h="16951"/>
          <w:pgMar w:top="2098" w:right="1474" w:bottom="1984" w:left="1587" w:header="851" w:footer="1332" w:gutter="0"/>
          <w:pgNumType w:fmt="decimal"/>
          <w:cols w:space="720" w:num="1"/>
          <w:rtlGutter w:val="0"/>
          <w:docGrid w:type="lines" w:linePitch="443" w:charSpace="0"/>
        </w:sectPr>
      </w:pPr>
      <w:r>
        <w:rPr>
          <w:rFonts w:hint="eastAsia" w:ascii="仿宋_GB2312" w:hAnsi="仿宋_GB2312" w:eastAsia="仿宋_GB2312" w:cs="仿宋_GB2312"/>
          <w:color w:val="000000"/>
          <w:sz w:val="32"/>
          <w:szCs w:val="32"/>
          <w:shd w:val="clear" w:color="auto" w:fill="FFFFFF"/>
        </w:rPr>
        <w:t>3.</w:t>
      </w:r>
      <w:r>
        <w:rPr>
          <w:rFonts w:hint="eastAsia" w:ascii="仿宋_GB2312" w:hAnsi="仿宋_GB2312" w:eastAsia="仿宋_GB2312" w:cs="仿宋_GB2312"/>
          <w:sz w:val="32"/>
          <w:szCs w:val="32"/>
          <w:lang w:bidi="ar"/>
        </w:rPr>
        <w:t>部门预算项目支出绩效评价表</w:t>
      </w:r>
    </w:p>
    <w:p>
      <w:pPr>
        <w:spacing w:line="578" w:lineRule="exact"/>
        <w:jc w:val="left"/>
        <w:rPr>
          <w:rFonts w:hint="eastAsia" w:ascii="CESI黑体-GB2312" w:hAnsi="CESI黑体-GB2312" w:eastAsia="CESI黑体-GB2312" w:cs="CESI黑体-GB2312"/>
          <w:kern w:val="2"/>
          <w:szCs w:val="24"/>
        </w:rPr>
      </w:pPr>
      <w:r>
        <w:rPr>
          <w:rFonts w:hint="eastAsia" w:ascii="CESI黑体-GB2312" w:hAnsi="CESI黑体-GB2312" w:eastAsia="CESI黑体-GB2312" w:cs="CESI黑体-GB2312"/>
          <w:kern w:val="2"/>
          <w:szCs w:val="24"/>
        </w:rPr>
        <w:t>附表1</w:t>
      </w:r>
    </w:p>
    <w:p>
      <w:pPr>
        <w:widowControl/>
        <w:adjustRightInd/>
        <w:spacing w:line="600" w:lineRule="exact"/>
        <w:jc w:val="center"/>
        <w:textAlignment w:val="center"/>
        <w:rPr>
          <w:rFonts w:hint="eastAsia" w:ascii="Times New Roman" w:hAnsi="Times New Roman" w:eastAsia="方正小标宋简体" w:cs="Times New Roman"/>
          <w:color w:val="000000"/>
          <w:sz w:val="44"/>
          <w:szCs w:val="44"/>
          <w:lang w:bidi="ar"/>
        </w:rPr>
      </w:pPr>
      <w:r>
        <w:rPr>
          <w:rFonts w:hint="eastAsia" w:ascii="Times New Roman" w:hAnsi="Times New Roman" w:eastAsia="方正小标宋简体" w:cs="Times New Roman"/>
          <w:color w:val="000000"/>
          <w:sz w:val="44"/>
          <w:szCs w:val="44"/>
          <w:lang w:bidi="ar"/>
        </w:rPr>
        <w:t>部门预算绩效自评打分表</w:t>
      </w:r>
    </w:p>
    <w:tbl>
      <w:tblPr>
        <w:tblStyle w:val="16"/>
        <w:tblW w:w="10230" w:type="dxa"/>
        <w:jc w:val="center"/>
        <w:tblLayout w:type="fixed"/>
        <w:tblCellMar>
          <w:top w:w="0" w:type="dxa"/>
          <w:left w:w="108" w:type="dxa"/>
          <w:bottom w:w="0" w:type="dxa"/>
          <w:right w:w="108" w:type="dxa"/>
        </w:tblCellMar>
      </w:tblPr>
      <w:tblGrid>
        <w:gridCol w:w="1004"/>
        <w:gridCol w:w="1462"/>
        <w:gridCol w:w="1665"/>
        <w:gridCol w:w="720"/>
        <w:gridCol w:w="4170"/>
        <w:gridCol w:w="795"/>
        <w:gridCol w:w="414"/>
      </w:tblGrid>
      <w:tr>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ascii="黑体" w:hAnsi="宋体" w:eastAsia="黑体" w:cs="黑体"/>
                <w:color w:val="000000"/>
                <w:sz w:val="21"/>
                <w:szCs w:val="21"/>
              </w:rPr>
            </w:pPr>
            <w:r>
              <w:rPr>
                <w:rFonts w:hint="eastAsia" w:ascii="黑体" w:hAnsi="宋体" w:eastAsia="黑体" w:cs="黑体"/>
                <w:color w:val="000000"/>
                <w:sz w:val="21"/>
                <w:szCs w:val="21"/>
                <w:lang w:bidi="ar"/>
              </w:rPr>
              <w:t>绩效评价指标指标分值</w:t>
            </w:r>
          </w:p>
        </w:tc>
        <w:tc>
          <w:tcPr>
            <w:tcW w:w="41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sz w:val="21"/>
                <w:szCs w:val="21"/>
                <w:lang w:bidi="ar"/>
              </w:rPr>
              <w:t>指标解释</w:t>
            </w:r>
          </w:p>
        </w:tc>
        <w:tc>
          <w:tcPr>
            <w:tcW w:w="795" w:type="dxa"/>
            <w:vMerge w:val="restart"/>
            <w:tcBorders>
              <w:top w:val="single" w:color="000000" w:sz="4" w:space="0"/>
              <w:left w:val="single" w:color="000000" w:sz="4" w:space="0"/>
              <w:right w:val="single" w:color="000000" w:sz="4" w:space="0"/>
            </w:tcBorders>
            <w:noWrap w:val="0"/>
            <w:vAlign w:val="center"/>
          </w:tcPr>
          <w:p>
            <w:pPr>
              <w:widowControl/>
              <w:adjustRightInd/>
              <w:spacing w:line="250" w:lineRule="exact"/>
              <w:jc w:val="center"/>
              <w:textAlignment w:val="center"/>
              <w:rPr>
                <w:rFonts w:hint="eastAsia" w:ascii="黑体" w:hAnsi="宋体" w:eastAsia="黑体" w:cs="黑体"/>
                <w:color w:val="000000"/>
                <w:sz w:val="21"/>
                <w:szCs w:val="21"/>
                <w:lang w:bidi="ar"/>
              </w:rPr>
            </w:pPr>
            <w:r>
              <w:rPr>
                <w:rFonts w:hint="eastAsia" w:ascii="黑体" w:hAnsi="宋体" w:eastAsia="黑体" w:cs="黑体"/>
                <w:color w:val="000000"/>
                <w:sz w:val="21"/>
                <w:szCs w:val="21"/>
                <w:lang w:bidi="ar"/>
              </w:rPr>
              <w:t>自评得分</w:t>
            </w:r>
          </w:p>
        </w:tc>
        <w:tc>
          <w:tcPr>
            <w:tcW w:w="414" w:type="dxa"/>
            <w:vMerge w:val="restart"/>
            <w:tcBorders>
              <w:top w:val="single" w:color="000000" w:sz="4" w:space="0"/>
              <w:left w:val="single" w:color="000000" w:sz="4" w:space="0"/>
              <w:right w:val="single" w:color="000000" w:sz="4" w:space="0"/>
            </w:tcBorders>
            <w:noWrap w:val="0"/>
            <w:vAlign w:val="center"/>
          </w:tcPr>
          <w:p>
            <w:pPr>
              <w:widowControl/>
              <w:adjustRightInd/>
              <w:spacing w:line="250" w:lineRule="exact"/>
              <w:jc w:val="center"/>
              <w:textAlignment w:val="center"/>
              <w:rPr>
                <w:rFonts w:hint="eastAsia" w:ascii="黑体" w:hAnsi="宋体" w:eastAsia="黑体" w:cs="黑体"/>
                <w:color w:val="000000"/>
                <w:sz w:val="21"/>
                <w:szCs w:val="21"/>
                <w:lang w:bidi="ar"/>
              </w:rPr>
            </w:pPr>
            <w:r>
              <w:rPr>
                <w:rFonts w:hint="eastAsia" w:ascii="黑体" w:hAnsi="宋体" w:eastAsia="黑体" w:cs="黑体"/>
                <w:color w:val="000000"/>
                <w:sz w:val="21"/>
                <w:szCs w:val="21"/>
                <w:lang w:bidi="ar"/>
              </w:rPr>
              <w:t>备注</w:t>
            </w: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noWrap w:val="0"/>
            <w:vAlign w:val="center"/>
          </w:tcPr>
          <w:p>
            <w:pPr>
              <w:widowControl/>
              <w:adjustRightInd/>
              <w:spacing w:line="250" w:lineRule="exact"/>
              <w:jc w:val="center"/>
              <w:textAlignment w:val="center"/>
              <w:rPr>
                <w:rFonts w:hint="eastAsia" w:ascii="黑体" w:hAnsi="宋体" w:eastAsia="黑体" w:cs="黑体"/>
                <w:color w:val="000000"/>
                <w:sz w:val="21"/>
                <w:szCs w:val="21"/>
                <w:lang w:bidi="ar"/>
              </w:rPr>
            </w:pPr>
            <w:r>
              <w:rPr>
                <w:rFonts w:hint="eastAsia" w:ascii="黑体" w:hAnsi="宋体" w:eastAsia="黑体" w:cs="黑体"/>
                <w:color w:val="000000"/>
                <w:sz w:val="21"/>
                <w:szCs w:val="21"/>
                <w:lang w:bidi="ar"/>
              </w:rPr>
              <w:t>一级</w:t>
            </w:r>
          </w:p>
          <w:p>
            <w:pPr>
              <w:widowControl/>
              <w:adjustRightInd/>
              <w:spacing w:line="25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sz w:val="21"/>
                <w:szCs w:val="21"/>
                <w:lang w:bidi="ar"/>
              </w:rPr>
              <w:t>指标</w:t>
            </w:r>
          </w:p>
        </w:tc>
        <w:tc>
          <w:tcPr>
            <w:tcW w:w="1462"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sz w:val="21"/>
                <w:szCs w:val="21"/>
                <w:lang w:bidi="ar"/>
              </w:rPr>
              <w:t>二级指标</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sz w:val="21"/>
                <w:szCs w:val="21"/>
                <w:lang w:bidi="ar"/>
              </w:rPr>
              <w:t>三级指标</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sz w:val="21"/>
                <w:szCs w:val="21"/>
                <w:lang w:bidi="ar"/>
              </w:rPr>
              <w:t>指标</w:t>
            </w:r>
            <w:r>
              <w:rPr>
                <w:rFonts w:hint="eastAsia" w:ascii="黑体" w:hAnsi="宋体" w:eastAsia="黑体" w:cs="黑体"/>
                <w:color w:val="000000"/>
                <w:sz w:val="21"/>
                <w:szCs w:val="21"/>
                <w:lang w:bidi="ar"/>
              </w:rPr>
              <w:br w:type="textWrapping"/>
            </w:r>
            <w:r>
              <w:rPr>
                <w:rFonts w:hint="eastAsia" w:ascii="黑体" w:hAnsi="宋体" w:eastAsia="黑体" w:cs="黑体"/>
                <w:color w:val="000000"/>
                <w:sz w:val="21"/>
                <w:szCs w:val="21"/>
                <w:lang w:bidi="ar"/>
              </w:rPr>
              <w:t>分值</w:t>
            </w:r>
          </w:p>
        </w:tc>
        <w:tc>
          <w:tcPr>
            <w:tcW w:w="417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黑体" w:hAnsi="宋体" w:eastAsia="黑体" w:cs="黑体"/>
                <w:color w:val="000000"/>
                <w:sz w:val="21"/>
                <w:szCs w:val="21"/>
              </w:rPr>
            </w:pPr>
          </w:p>
        </w:tc>
        <w:tc>
          <w:tcPr>
            <w:tcW w:w="795" w:type="dxa"/>
            <w:vMerge w:val="continue"/>
            <w:tcBorders>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黑体" w:hAnsi="宋体" w:eastAsia="黑体" w:cs="黑体"/>
                <w:color w:val="000000"/>
                <w:sz w:val="21"/>
                <w:szCs w:val="21"/>
              </w:rPr>
            </w:pPr>
          </w:p>
        </w:tc>
        <w:tc>
          <w:tcPr>
            <w:tcW w:w="414" w:type="dxa"/>
            <w:vMerge w:val="continue"/>
            <w:tcBorders>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黑体" w:hAnsi="宋体" w:eastAsia="黑体" w:cs="黑体"/>
                <w:color w:val="000000"/>
                <w:sz w:val="21"/>
                <w:szCs w:val="21"/>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lang w:bidi="ar"/>
              </w:rPr>
            </w:pPr>
            <w:r>
              <w:rPr>
                <w:rFonts w:hint="eastAsia" w:ascii="宋体" w:hAnsi="宋体" w:eastAsia="宋体" w:cs="宋体"/>
                <w:b/>
                <w:color w:val="000000"/>
                <w:sz w:val="21"/>
                <w:szCs w:val="21"/>
                <w:lang w:bidi="ar"/>
              </w:rPr>
              <w:t>总体</w:t>
            </w:r>
          </w:p>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绩效</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（65分）</w:t>
            </w:r>
          </w:p>
        </w:tc>
        <w:tc>
          <w:tcPr>
            <w:tcW w:w="1462"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履职效能</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（15分）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部门履职效果</w:t>
            </w:r>
          </w:p>
        </w:tc>
        <w:tc>
          <w:tcPr>
            <w:tcW w:w="720" w:type="dxa"/>
            <w:tcBorders>
              <w:top w:val="nil"/>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15</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部门整体绩效目标中选定3-5个核心职能目标，反映该项职能目标完成效果情况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ascii="宋体" w:hAnsi="宋体" w:eastAsia="宋体" w:cs="宋体"/>
                <w:color w:val="000000"/>
                <w:kern w:val="2"/>
                <w:sz w:val="21"/>
                <w:szCs w:val="21"/>
              </w:rPr>
            </w:pPr>
            <w:r>
              <w:rPr>
                <w:rFonts w:hint="eastAsia" w:ascii="宋体" w:hAnsi="宋体" w:eastAsia="宋体" w:cs="宋体"/>
                <w:color w:val="000000"/>
                <w:sz w:val="21"/>
                <w:szCs w:val="21"/>
                <w:lang w:bidi="ar"/>
              </w:rPr>
              <w:t>15</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预算管理</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（25分）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8</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部门是否严格按要求编制年初部门预算，年初预算编制的科学性和准确性</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8</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部门统筹自有收入程度</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6</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部门1至6月、1至10月预算执行情况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sz w:val="21"/>
                <w:szCs w:val="21"/>
                <w:lang w:val="en-US" w:eastAsia="zh-CN" w:bidi="ar"/>
              </w:rPr>
              <w:t>5.85</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部门整体年终预算结余情况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2</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5</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部门严控“三公”经费、会议、培训、差旅、办节办展、办公设备购置、信息网络及软件购置更新、课题经费等8项一般性支出情况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5</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财务管理</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（10分）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部门财务管理制度建立情况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部门财务岗位设置是否符合相关财务管理制度要求</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2</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部门资金使用是否符合相关财务管理制度规定</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资产管理</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（9分）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部门人均资产变化情况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3</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资产利用率</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部门资产超最低使用年限情况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3</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lang w:bidi="ar"/>
              </w:rPr>
            </w:pPr>
            <w:r>
              <w:rPr>
                <w:rFonts w:hint="eastAsia" w:ascii="宋体" w:hAnsi="宋体" w:eastAsia="宋体" w:cs="宋体"/>
                <w:b/>
                <w:color w:val="000000"/>
                <w:sz w:val="21"/>
                <w:szCs w:val="21"/>
                <w:lang w:bidi="ar"/>
              </w:rPr>
              <w:t>总体</w:t>
            </w:r>
          </w:p>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绩效</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（65分）</w:t>
            </w:r>
          </w:p>
        </w:tc>
        <w:tc>
          <w:tcPr>
            <w:tcW w:w="1462"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资产管理</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（9分）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资产盘活率</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部门闲置一年以上的资产盘活情况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3</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采购管理</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（6分）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部门是否严格执行政府采购促进中小企业发展相关管理办法</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3</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采购执行率</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部门政府采购项目资金支付比例情况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3</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lang w:bidi="ar"/>
              </w:rPr>
            </w:pPr>
            <w:r>
              <w:rPr>
                <w:rFonts w:hint="eastAsia" w:ascii="宋体" w:hAnsi="宋体" w:eastAsia="宋体" w:cs="宋体"/>
                <w:b/>
                <w:color w:val="000000"/>
                <w:sz w:val="21"/>
                <w:szCs w:val="21"/>
                <w:lang w:bidi="ar"/>
              </w:rPr>
              <w:t>项目</w:t>
            </w:r>
          </w:p>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绩效</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（35分）</w:t>
            </w:r>
          </w:p>
        </w:tc>
        <w:tc>
          <w:tcPr>
            <w:tcW w:w="1462" w:type="dxa"/>
            <w:vMerge w:val="restart"/>
            <w:tcBorders>
              <w:top w:val="single" w:color="000000" w:sz="4" w:space="0"/>
              <w:left w:val="single" w:color="000000" w:sz="4" w:space="0"/>
              <w:bottom w:val="nil"/>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项目决策</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（12分）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决策程序</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部门预算项目设立是否按规定履行评估论证、申报程序</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nil"/>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目标设置</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部门预算项目绩效目标与计划期内的任务量、预算安排的资金量匹配情况，绩效目标设置是否科学合理、规范完整、量化细化、预算匹配</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nil"/>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项目入库</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部门预算项目是否在规定时间完成项目入库</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restart"/>
            <w:tcBorders>
              <w:top w:val="single" w:color="000000" w:sz="4" w:space="0"/>
              <w:left w:val="single" w:color="000000" w:sz="4" w:space="0"/>
              <w:bottom w:val="nil"/>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项目执行</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（12分）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执行同向</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部门预算项目实际列支内容是否与绩效目标设置方向相符</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nil"/>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nil"/>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项目调整</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部门预算项目是否采取对应调整措施</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nil"/>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执行结果</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部门预算项目预算执行情况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目标实现</w:t>
            </w:r>
            <w:r>
              <w:rPr>
                <w:rFonts w:hint="eastAsia" w:ascii="宋体" w:hAnsi="宋体" w:eastAsia="宋体" w:cs="宋体"/>
                <w:b/>
                <w:color w:val="000000"/>
                <w:sz w:val="21"/>
                <w:szCs w:val="21"/>
                <w:lang w:bidi="ar"/>
              </w:rPr>
              <w:br w:type="textWrapping"/>
            </w:r>
            <w:r>
              <w:rPr>
                <w:rFonts w:hint="eastAsia" w:ascii="宋体" w:hAnsi="宋体" w:eastAsia="宋体" w:cs="宋体"/>
                <w:b/>
                <w:color w:val="000000"/>
                <w:sz w:val="21"/>
                <w:szCs w:val="21"/>
                <w:lang w:bidi="ar"/>
              </w:rPr>
              <w:t>（11分）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目标完成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部门预算项目绩效目标数量指标完成情况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sz w:val="21"/>
                <w:szCs w:val="21"/>
                <w:lang w:bidi="ar"/>
              </w:rPr>
              <w:t>4</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目标偏离</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4</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部门预算项目绩效目标数量指标实现程度与预期目标的偏离情况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ascii="宋体" w:hAnsi="宋体" w:eastAsia="宋体" w:cs="宋体"/>
                <w:color w:val="000000"/>
                <w:kern w:val="2"/>
                <w:sz w:val="21"/>
                <w:szCs w:val="21"/>
              </w:rPr>
            </w:pPr>
            <w:r>
              <w:rPr>
                <w:rFonts w:hint="eastAsia" w:ascii="宋体" w:hAnsi="宋体" w:eastAsia="宋体" w:cs="宋体"/>
                <w:color w:val="000000"/>
                <w:sz w:val="21"/>
                <w:szCs w:val="21"/>
                <w:lang w:bidi="ar"/>
              </w:rPr>
              <w:t>3.5</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rPr>
                <w:rFonts w:hint="eastAsia"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实现效果</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部门预算项目绩效目标效益指标实施效果</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ascii="宋体" w:hAnsi="宋体" w:eastAsia="宋体" w:cs="宋体"/>
                <w:color w:val="000000"/>
                <w:kern w:val="2"/>
                <w:sz w:val="21"/>
                <w:szCs w:val="21"/>
              </w:rPr>
            </w:pPr>
            <w:r>
              <w:rPr>
                <w:rFonts w:hint="eastAsia" w:ascii="宋体" w:hAnsi="宋体" w:eastAsia="宋体" w:cs="宋体"/>
                <w:color w:val="000000"/>
                <w:sz w:val="21"/>
                <w:szCs w:val="21"/>
                <w:lang w:bidi="ar"/>
              </w:rPr>
              <w:t>2.5</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b/>
                <w:color w:val="000000"/>
                <w:sz w:val="21"/>
                <w:szCs w:val="21"/>
                <w:lang w:bidi="ar"/>
              </w:rPr>
            </w:pPr>
            <w:r>
              <w:rPr>
                <w:rFonts w:hint="eastAsia" w:ascii="宋体" w:hAnsi="宋体" w:eastAsia="宋体" w:cs="宋体"/>
                <w:b/>
                <w:color w:val="000000"/>
                <w:sz w:val="21"/>
                <w:szCs w:val="21"/>
                <w:lang w:bidi="ar"/>
              </w:rPr>
              <w:t>扣分</w:t>
            </w:r>
          </w:p>
          <w:p>
            <w:pPr>
              <w:widowControl/>
              <w:adjustRightInd/>
              <w:spacing w:line="250" w:lineRule="exact"/>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被评价对象工作配合情况</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0</w:t>
            </w:r>
          </w:p>
        </w:tc>
        <w:tc>
          <w:tcPr>
            <w:tcW w:w="414"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spacing w:line="250" w:lineRule="exact"/>
              <w:jc w:val="left"/>
              <w:textAlignment w:val="center"/>
              <w:rPr>
                <w:rFonts w:hint="eastAsia" w:ascii="宋体" w:hAnsi="宋体" w:eastAsia="宋体" w:cs="宋体"/>
                <w:color w:val="000000"/>
                <w:sz w:val="21"/>
                <w:szCs w:val="21"/>
                <w:lang w:bidi="ar"/>
              </w:rPr>
            </w:pPr>
          </w:p>
        </w:tc>
      </w:tr>
    </w:tbl>
    <w:p>
      <w:pPr>
        <w:keepNext w:val="0"/>
        <w:keepLines w:val="0"/>
        <w:pageBreakBefore w:val="0"/>
        <w:kinsoku/>
        <w:wordWrap/>
        <w:overflowPunct/>
        <w:topLinePunct w:val="0"/>
        <w:autoSpaceDE/>
        <w:autoSpaceDN/>
        <w:bidi w:val="0"/>
        <w:spacing w:line="578" w:lineRule="exact"/>
        <w:jc w:val="left"/>
        <w:textAlignment w:val="auto"/>
        <w:rPr>
          <w:rFonts w:hint="eastAsia" w:ascii="CESI黑体-GB2312" w:hAnsi="CESI黑体-GB2312" w:eastAsia="CESI黑体-GB2312" w:cs="CESI黑体-GB2312"/>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eastAsia" w:ascii="CESI黑体-GB2312" w:hAnsi="CESI黑体-GB2312" w:eastAsia="CESI黑体-GB2312" w:cs="CESI黑体-GB2312"/>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eastAsia" w:ascii="CESI黑体-GB2312" w:hAnsi="CESI黑体-GB2312" w:eastAsia="CESI黑体-GB2312" w:cs="CESI黑体-GB2312"/>
          <w:kern w:val="2"/>
          <w:sz w:val="32"/>
          <w:szCs w:val="24"/>
          <w:highlight w:val="none"/>
          <w:lang w:val="en-US" w:eastAsia="zh-CN" w:bidi="ar-SA"/>
        </w:rPr>
      </w:pPr>
      <w:r>
        <w:rPr>
          <w:rFonts w:hint="eastAsia" w:ascii="CESI黑体-GB2312" w:hAnsi="CESI黑体-GB2312" w:eastAsia="CESI黑体-GB2312" w:cs="CESI黑体-GB2312"/>
          <w:kern w:val="2"/>
          <w:sz w:val="32"/>
          <w:szCs w:val="24"/>
          <w:highlight w:val="none"/>
          <w:lang w:val="en-US" w:eastAsia="zh-CN" w:bidi="ar-SA"/>
        </w:rPr>
        <w:t>附表2</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hint="default" w:ascii="Times New Roman" w:hAnsi="Times New Roman" w:eastAsia="方正小标宋简体" w:cs="Times New Roman"/>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部门整体支出绩效目标完成情况自评表</w:t>
      </w:r>
    </w:p>
    <w:tbl>
      <w:tblPr>
        <w:tblStyle w:val="16"/>
        <w:tblW w:w="14455" w:type="dxa"/>
        <w:tblInd w:w="0" w:type="dxa"/>
        <w:tblLayout w:type="fixed"/>
        <w:tblCellMar>
          <w:top w:w="0" w:type="dxa"/>
          <w:left w:w="108" w:type="dxa"/>
          <w:bottom w:w="0" w:type="dxa"/>
          <w:right w:w="108" w:type="dxa"/>
        </w:tblCellMar>
      </w:tblPr>
      <w:tblGrid>
        <w:gridCol w:w="331"/>
        <w:gridCol w:w="593"/>
        <w:gridCol w:w="803"/>
        <w:gridCol w:w="1246"/>
        <w:gridCol w:w="803"/>
        <w:gridCol w:w="777"/>
        <w:gridCol w:w="1018"/>
        <w:gridCol w:w="1045"/>
        <w:gridCol w:w="1111"/>
        <w:gridCol w:w="1931"/>
      </w:tblGrid>
      <w:tr>
        <w:tblPrEx>
          <w:tblCellMar>
            <w:top w:w="0" w:type="dxa"/>
            <w:left w:w="108" w:type="dxa"/>
            <w:bottom w:w="0" w:type="dxa"/>
            <w:right w:w="108" w:type="dxa"/>
          </w:tblCellMar>
        </w:tblPrEx>
        <w:trPr>
          <w:trHeight w:val="465" w:hRule="atLeast"/>
        </w:trPr>
        <w:tc>
          <w:tcPr>
            <w:tcW w:w="1727" w:type="dxa"/>
            <w:gridSpan w:val="3"/>
            <w:tcBorders>
              <w:top w:val="single" w:color="000000" w:sz="4" w:space="0"/>
              <w:left w:val="single" w:color="000000" w:sz="4" w:space="0"/>
              <w:bottom w:val="single" w:color="auto"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color w:val="auto"/>
                <w:kern w:val="0"/>
                <w:sz w:val="21"/>
                <w:szCs w:val="21"/>
                <w:u w:val="none"/>
                <w:lang w:val="en-US" w:eastAsia="zh-CN" w:bidi="ar"/>
              </w:rPr>
            </w:pPr>
            <w:r>
              <w:rPr>
                <w:rFonts w:hint="eastAsia" w:ascii="方正仿宋_GB2312" w:hAnsi="方正仿宋_GB2312" w:eastAsia="方正仿宋_GB2312" w:cs="方正仿宋_GB2312"/>
                <w:b/>
                <w:bCs/>
                <w:color w:val="auto"/>
                <w:sz w:val="21"/>
                <w:szCs w:val="21"/>
                <w:highlight w:val="none"/>
                <w:lang w:val="en-US" w:eastAsia="zh-CN"/>
              </w:rPr>
              <w:br w:type="page"/>
            </w:r>
            <w:r>
              <w:rPr>
                <w:rFonts w:hint="eastAsia" w:ascii="方正仿宋_GB2312" w:hAnsi="方正仿宋_GB2312" w:eastAsia="方正仿宋_GB2312" w:cs="方正仿宋_GB2312"/>
                <w:b/>
                <w:bCs/>
                <w:i w:val="0"/>
                <w:color w:val="auto"/>
                <w:kern w:val="0"/>
                <w:sz w:val="21"/>
                <w:szCs w:val="21"/>
                <w:u w:val="none"/>
                <w:lang w:val="en-US" w:eastAsia="zh-CN" w:bidi="ar"/>
              </w:rPr>
              <w:t>部门名称</w:t>
            </w:r>
          </w:p>
        </w:tc>
        <w:tc>
          <w:tcPr>
            <w:tcW w:w="79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auto"/>
                <w:kern w:val="0"/>
                <w:sz w:val="21"/>
                <w:szCs w:val="21"/>
                <w:u w:val="none"/>
                <w:lang w:val="en-US" w:eastAsia="zh-CN" w:bidi="ar"/>
              </w:rPr>
            </w:pPr>
            <w:r>
              <w:rPr>
                <w:rFonts w:hint="eastAsia" w:ascii="方正仿宋_GB2312" w:hAnsi="方正仿宋_GB2312" w:eastAsia="方正仿宋_GB2312" w:cs="方正仿宋_GB2312"/>
                <w:b/>
                <w:bCs/>
                <w:i w:val="0"/>
                <w:color w:val="auto"/>
                <w:kern w:val="0"/>
                <w:sz w:val="21"/>
                <w:szCs w:val="21"/>
                <w:u w:val="none"/>
                <w:lang w:val="en-US" w:eastAsia="zh-CN" w:bidi="ar"/>
              </w:rPr>
              <w:t>四川省人民政府科学城办事处</w:t>
            </w:r>
          </w:p>
        </w:tc>
      </w:tr>
      <w:tr>
        <w:tblPrEx>
          <w:tblCellMar>
            <w:top w:w="0" w:type="dxa"/>
            <w:left w:w="108" w:type="dxa"/>
            <w:bottom w:w="0" w:type="dxa"/>
            <w:right w:w="108" w:type="dxa"/>
          </w:tblCellMar>
        </w:tblPrEx>
        <w:trPr>
          <w:trHeight w:val="493" w:hRule="atLeast"/>
        </w:trPr>
        <w:tc>
          <w:tcPr>
            <w:tcW w:w="17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auto"/>
                <w:kern w:val="0"/>
                <w:sz w:val="21"/>
                <w:szCs w:val="21"/>
                <w:u w:val="none"/>
                <w:lang w:val="en-US" w:eastAsia="zh-CN" w:bidi="ar"/>
              </w:rPr>
            </w:pPr>
            <w:r>
              <w:rPr>
                <w:rFonts w:hint="eastAsia" w:ascii="方正仿宋_GB2312" w:hAnsi="方正仿宋_GB2312" w:eastAsia="方正仿宋_GB2312" w:cs="方正仿宋_GB2312"/>
                <w:b/>
                <w:bCs/>
                <w:i w:val="0"/>
                <w:color w:val="auto"/>
                <w:kern w:val="0"/>
                <w:sz w:val="21"/>
                <w:szCs w:val="21"/>
                <w:u w:val="none"/>
                <w:lang w:val="en-US" w:eastAsia="zh-CN" w:bidi="ar"/>
              </w:rPr>
              <w:t>年度部门</w:t>
            </w:r>
          </w:p>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auto"/>
                <w:kern w:val="0"/>
                <w:sz w:val="21"/>
                <w:szCs w:val="21"/>
                <w:u w:val="none"/>
                <w:lang w:val="en-US" w:eastAsia="zh-CN" w:bidi="ar"/>
              </w:rPr>
            </w:pPr>
            <w:r>
              <w:rPr>
                <w:rFonts w:hint="eastAsia" w:ascii="方正仿宋_GB2312" w:hAnsi="方正仿宋_GB2312" w:eastAsia="方正仿宋_GB2312" w:cs="方正仿宋_GB2312"/>
                <w:b/>
                <w:bCs/>
                <w:i w:val="0"/>
                <w:color w:val="auto"/>
                <w:kern w:val="0"/>
                <w:sz w:val="21"/>
                <w:szCs w:val="21"/>
                <w:u w:val="none"/>
                <w:lang w:val="en-US" w:eastAsia="zh-CN" w:bidi="ar"/>
              </w:rPr>
              <w:t>整体预算</w:t>
            </w:r>
          </w:p>
        </w:tc>
        <w:tc>
          <w:tcPr>
            <w:tcW w:w="2049" w:type="dxa"/>
            <w:gridSpan w:val="2"/>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auto"/>
                <w:kern w:val="0"/>
                <w:sz w:val="21"/>
                <w:szCs w:val="21"/>
                <w:u w:val="none"/>
                <w:lang w:val="en-US" w:eastAsia="zh-CN" w:bidi="ar"/>
              </w:rPr>
            </w:pPr>
            <w:r>
              <w:rPr>
                <w:rFonts w:hint="eastAsia" w:ascii="方正仿宋_GB2312" w:hAnsi="方正仿宋_GB2312" w:eastAsia="方正仿宋_GB2312" w:cs="方正仿宋_GB2312"/>
                <w:b/>
                <w:bCs/>
                <w:i w:val="0"/>
                <w:color w:val="auto"/>
                <w:kern w:val="0"/>
                <w:sz w:val="21"/>
                <w:szCs w:val="21"/>
                <w:u w:val="none"/>
                <w:lang w:val="en-US" w:eastAsia="zh-CN" w:bidi="ar"/>
              </w:rPr>
              <w:t>资金总额（万元）</w:t>
            </w:r>
          </w:p>
        </w:tc>
        <w:tc>
          <w:tcPr>
            <w:tcW w:w="17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auto"/>
                <w:kern w:val="0"/>
                <w:sz w:val="21"/>
                <w:szCs w:val="21"/>
                <w:u w:val="none"/>
                <w:lang w:val="en-US" w:eastAsia="zh-CN" w:bidi="ar"/>
              </w:rPr>
            </w:pPr>
            <w:r>
              <w:rPr>
                <w:rFonts w:hint="eastAsia" w:ascii="方正仿宋_GB2312" w:hAnsi="方正仿宋_GB2312" w:eastAsia="方正仿宋_GB2312" w:cs="方正仿宋_GB2312"/>
                <w:b/>
                <w:bCs/>
                <w:i w:val="0"/>
                <w:color w:val="auto"/>
                <w:kern w:val="0"/>
                <w:sz w:val="21"/>
                <w:szCs w:val="21"/>
                <w:u w:val="none"/>
                <w:lang w:val="en-US" w:eastAsia="zh-CN" w:bidi="ar"/>
              </w:rPr>
              <w:t>财政拨款（万元）</w:t>
            </w:r>
          </w:p>
        </w:tc>
        <w:tc>
          <w:tcPr>
            <w:tcW w:w="408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auto"/>
                <w:kern w:val="0"/>
                <w:sz w:val="21"/>
                <w:szCs w:val="21"/>
                <w:u w:val="none"/>
                <w:lang w:val="en-US" w:eastAsia="zh-CN" w:bidi="ar"/>
              </w:rPr>
            </w:pPr>
            <w:r>
              <w:rPr>
                <w:rFonts w:hint="eastAsia" w:ascii="方正仿宋_GB2312" w:hAnsi="方正仿宋_GB2312" w:eastAsia="方正仿宋_GB2312" w:cs="方正仿宋_GB2312"/>
                <w:b/>
                <w:bCs/>
                <w:i w:val="0"/>
                <w:color w:val="auto"/>
                <w:kern w:val="0"/>
                <w:sz w:val="21"/>
                <w:szCs w:val="21"/>
                <w:u w:val="none"/>
                <w:lang w:val="en-US" w:eastAsia="zh-CN" w:bidi="ar"/>
              </w:rPr>
              <w:t>其他资金</w:t>
            </w:r>
          </w:p>
        </w:tc>
      </w:tr>
      <w:tr>
        <w:tblPrEx>
          <w:tblCellMar>
            <w:top w:w="0" w:type="dxa"/>
            <w:left w:w="108" w:type="dxa"/>
            <w:bottom w:w="0" w:type="dxa"/>
            <w:right w:w="108" w:type="dxa"/>
          </w:tblCellMar>
        </w:tblPrEx>
        <w:trPr>
          <w:trHeight w:val="285" w:hRule="atLeast"/>
        </w:trPr>
        <w:tc>
          <w:tcPr>
            <w:tcW w:w="17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收入预算</w:t>
            </w:r>
          </w:p>
        </w:tc>
        <w:tc>
          <w:tcPr>
            <w:tcW w:w="2049" w:type="dxa"/>
            <w:gridSpan w:val="2"/>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1565.0</w:t>
            </w:r>
          </w:p>
        </w:tc>
        <w:tc>
          <w:tcPr>
            <w:tcW w:w="17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1565.0</w:t>
            </w:r>
          </w:p>
        </w:tc>
        <w:tc>
          <w:tcPr>
            <w:tcW w:w="408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r>
      <w:tr>
        <w:tblPrEx>
          <w:tblCellMar>
            <w:top w:w="0" w:type="dxa"/>
            <w:left w:w="108" w:type="dxa"/>
            <w:bottom w:w="0" w:type="dxa"/>
            <w:right w:w="108" w:type="dxa"/>
          </w:tblCellMar>
        </w:tblPrEx>
        <w:trPr>
          <w:trHeight w:val="304" w:hRule="atLeast"/>
        </w:trPr>
        <w:tc>
          <w:tcPr>
            <w:tcW w:w="17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支出预算</w:t>
            </w:r>
          </w:p>
        </w:tc>
        <w:tc>
          <w:tcPr>
            <w:tcW w:w="2049"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1533.26</w:t>
            </w:r>
          </w:p>
        </w:tc>
        <w:tc>
          <w:tcPr>
            <w:tcW w:w="1795"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1533.26</w:t>
            </w:r>
          </w:p>
        </w:tc>
        <w:tc>
          <w:tcPr>
            <w:tcW w:w="4087"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r>
      <w:tr>
        <w:tblPrEx>
          <w:tblCellMar>
            <w:top w:w="0" w:type="dxa"/>
            <w:left w:w="108" w:type="dxa"/>
            <w:bottom w:w="0" w:type="dxa"/>
            <w:right w:w="108" w:type="dxa"/>
          </w:tblCellMar>
        </w:tblPrEx>
        <w:trPr>
          <w:trHeight w:val="1132" w:hRule="atLeast"/>
        </w:trPr>
        <w:tc>
          <w:tcPr>
            <w:tcW w:w="1727"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年度总体目标</w:t>
            </w:r>
          </w:p>
        </w:tc>
        <w:tc>
          <w:tcPr>
            <w:tcW w:w="79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通过该项目实施，进一步提升行政效能，提高行政执法水平，保证平安科学城建设的稳步持续推进；促进公共服务与社会管理能力不断提升，民生、文化教育、公共卫生事业不断发展，市场经济秩序规范有序，城市环境卫生不断完善，开展社区标准化、制度化、信息化建设，提升社区自治和服务水平，打造“一居一特色”具有科学城文化特点的和谐社区。</w:t>
            </w:r>
          </w:p>
        </w:tc>
      </w:tr>
      <w:tr>
        <w:tblPrEx>
          <w:tblCellMar>
            <w:top w:w="0" w:type="dxa"/>
            <w:left w:w="108" w:type="dxa"/>
            <w:bottom w:w="0" w:type="dxa"/>
            <w:right w:w="108" w:type="dxa"/>
          </w:tblCellMar>
        </w:tblPrEx>
        <w:trPr>
          <w:trHeight w:val="296" w:hRule="atLeast"/>
        </w:trPr>
        <w:tc>
          <w:tcPr>
            <w:tcW w:w="3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管理效率</w:t>
            </w:r>
          </w:p>
        </w:tc>
        <w:tc>
          <w:tcPr>
            <w:tcW w:w="5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一级指标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二级指标</w:t>
            </w:r>
          </w:p>
        </w:tc>
        <w:tc>
          <w:tcPr>
            <w:tcW w:w="12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三级指标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指标值</w:t>
            </w:r>
          </w:p>
        </w:tc>
        <w:tc>
          <w:tcPr>
            <w:tcW w:w="39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指标设置参考值</w:t>
            </w:r>
          </w:p>
        </w:tc>
        <w:tc>
          <w:tcPr>
            <w:tcW w:w="1931"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指标实际完成值</w:t>
            </w:r>
          </w:p>
        </w:tc>
      </w:tr>
      <w:tr>
        <w:tblPrEx>
          <w:tblCellMar>
            <w:top w:w="0" w:type="dxa"/>
            <w:left w:w="108" w:type="dxa"/>
            <w:bottom w:w="0" w:type="dxa"/>
            <w:right w:w="108" w:type="dxa"/>
          </w:tblCellMar>
        </w:tblPrEx>
        <w:trPr>
          <w:trHeight w:val="296"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12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8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77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三年</w:t>
            </w:r>
          </w:p>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均值</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2023年</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2024年</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2025年</w:t>
            </w:r>
          </w:p>
        </w:tc>
        <w:tc>
          <w:tcPr>
            <w:tcW w:w="1931"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r>
      <w:tr>
        <w:tblPrEx>
          <w:tblCellMar>
            <w:top w:w="0" w:type="dxa"/>
            <w:left w:w="108" w:type="dxa"/>
            <w:bottom w:w="0" w:type="dxa"/>
            <w:right w:w="108" w:type="dxa"/>
          </w:tblCellMar>
        </w:tblPrEx>
        <w:trPr>
          <w:trHeight w:val="90"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成本指标</w:t>
            </w:r>
          </w:p>
        </w:tc>
        <w:tc>
          <w:tcPr>
            <w:tcW w:w="8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预算管理</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财政拨款预算编制偏离度</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≤7.65%</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7.65%</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7.47%</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8.62%</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6.86%</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6.86%</w:t>
            </w:r>
          </w:p>
        </w:tc>
      </w:tr>
      <w:tr>
        <w:tblPrEx>
          <w:tblCellMar>
            <w:top w:w="0" w:type="dxa"/>
            <w:left w:w="108" w:type="dxa"/>
            <w:bottom w:w="0" w:type="dxa"/>
            <w:right w:w="108" w:type="dxa"/>
          </w:tblCellMar>
        </w:tblPrEx>
        <w:trPr>
          <w:trHeight w:val="90"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单位收入统筹度</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无</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r>
      <w:tr>
        <w:tblPrEx>
          <w:tblCellMar>
            <w:top w:w="0" w:type="dxa"/>
            <w:left w:w="108" w:type="dxa"/>
            <w:bottom w:w="0" w:type="dxa"/>
            <w:right w:w="108" w:type="dxa"/>
          </w:tblCellMar>
        </w:tblPrEx>
        <w:trPr>
          <w:trHeight w:val="90"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预算年终结余率</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0</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default"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0</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default"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default"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0</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r>
      <w:tr>
        <w:tblPrEx>
          <w:tblCellMar>
            <w:top w:w="0" w:type="dxa"/>
            <w:left w:w="108" w:type="dxa"/>
            <w:bottom w:w="0" w:type="dxa"/>
            <w:right w:w="108" w:type="dxa"/>
          </w:tblCellMar>
        </w:tblPrEx>
        <w:trPr>
          <w:trHeight w:val="90"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一般性支出金额</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auto"/>
                <w:kern w:val="0"/>
                <w:sz w:val="21"/>
                <w:szCs w:val="21"/>
                <w:u w:val="none"/>
                <w:lang w:val="en-US" w:eastAsia="zh-CN" w:bidi="ar"/>
              </w:rPr>
            </w:pPr>
            <w:r>
              <w:rPr>
                <w:rFonts w:hint="eastAsia" w:ascii="方正仿宋_GB2312" w:hAnsi="方正仿宋_GB2312" w:eastAsia="方正仿宋_GB2312" w:cs="方正仿宋_GB2312"/>
                <w:i w:val="0"/>
                <w:color w:val="auto"/>
                <w:kern w:val="0"/>
                <w:sz w:val="21"/>
                <w:szCs w:val="21"/>
                <w:u w:val="none"/>
                <w:lang w:val="en-US" w:eastAsia="zh-CN" w:bidi="ar"/>
              </w:rPr>
              <w:t>≤263万元</w:t>
            </w:r>
          </w:p>
        </w:tc>
        <w:tc>
          <w:tcPr>
            <w:tcW w:w="39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auto"/>
                <w:kern w:val="0"/>
                <w:sz w:val="21"/>
                <w:szCs w:val="21"/>
                <w:u w:val="none"/>
                <w:lang w:val="en-US" w:eastAsia="zh-CN" w:bidi="ar"/>
              </w:rPr>
            </w:pPr>
            <w:r>
              <w:rPr>
                <w:rFonts w:hint="eastAsia" w:ascii="方正仿宋_GB2312" w:hAnsi="方正仿宋_GB2312" w:eastAsia="方正仿宋_GB2312" w:cs="方正仿宋_GB2312"/>
                <w:i w:val="0"/>
                <w:color w:val="auto"/>
                <w:kern w:val="0"/>
                <w:sz w:val="21"/>
                <w:szCs w:val="21"/>
                <w:u w:val="none"/>
                <w:lang w:val="en-US" w:eastAsia="zh-CN" w:bidi="ar"/>
              </w:rPr>
              <w:t>263万元</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default"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249.02万元</w:t>
            </w:r>
          </w:p>
        </w:tc>
      </w:tr>
      <w:tr>
        <w:tblPrEx>
          <w:tblCellMar>
            <w:top w:w="0" w:type="dxa"/>
            <w:left w:w="108" w:type="dxa"/>
            <w:bottom w:w="0" w:type="dxa"/>
            <w:right w:w="108" w:type="dxa"/>
          </w:tblCellMar>
        </w:tblPrEx>
        <w:trPr>
          <w:trHeight w:val="90"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财务管理</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财务管理规范</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优</w:t>
            </w:r>
          </w:p>
        </w:tc>
        <w:tc>
          <w:tcPr>
            <w:tcW w:w="39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优</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r>
      <w:tr>
        <w:tblPrEx>
          <w:tblCellMar>
            <w:top w:w="0" w:type="dxa"/>
            <w:left w:w="108" w:type="dxa"/>
            <w:bottom w:w="0" w:type="dxa"/>
            <w:right w:w="108" w:type="dxa"/>
          </w:tblCellMar>
        </w:tblPrEx>
        <w:trPr>
          <w:trHeight w:val="90"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资产管理</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资产配置预算偏离度</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both"/>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18"/>
                <w:szCs w:val="18"/>
                <w:u w:val="none"/>
                <w:lang w:val="en-US" w:eastAsia="zh-CN" w:bidi="ar"/>
              </w:rPr>
              <w:t>不涉及</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r>
      <w:tr>
        <w:tblPrEx>
          <w:tblCellMar>
            <w:top w:w="0" w:type="dxa"/>
            <w:left w:w="108" w:type="dxa"/>
            <w:bottom w:w="0" w:type="dxa"/>
            <w:right w:w="108" w:type="dxa"/>
          </w:tblCellMar>
        </w:tblPrEx>
        <w:trPr>
          <w:trHeight w:val="90"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采购管理</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采购执行率</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≥100%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100%</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100%</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100%</w:t>
            </w:r>
          </w:p>
        </w:tc>
      </w:tr>
      <w:tr>
        <w:tblPrEx>
          <w:tblCellMar>
            <w:top w:w="0" w:type="dxa"/>
            <w:left w:w="108" w:type="dxa"/>
            <w:bottom w:w="0" w:type="dxa"/>
            <w:right w:w="108" w:type="dxa"/>
          </w:tblCellMar>
        </w:tblPrEx>
        <w:trPr>
          <w:trHeight w:val="468" w:hRule="atLeast"/>
        </w:trPr>
        <w:tc>
          <w:tcPr>
            <w:tcW w:w="3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履职效能</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一级指标</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二级指标</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三级指标</w:t>
            </w:r>
          </w:p>
        </w:tc>
        <w:tc>
          <w:tcPr>
            <w:tcW w:w="475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指标值（包含数字及文字描述）</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p>
        </w:tc>
      </w:tr>
      <w:tr>
        <w:tblPrEx>
          <w:tblCellMar>
            <w:top w:w="0" w:type="dxa"/>
            <w:left w:w="108" w:type="dxa"/>
            <w:bottom w:w="0" w:type="dxa"/>
            <w:right w:w="108" w:type="dxa"/>
          </w:tblCellMar>
        </w:tblPrEx>
        <w:trPr>
          <w:trHeight w:val="296"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产出指标</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数量指标</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设置环境监测点</w:t>
            </w:r>
          </w:p>
        </w:tc>
        <w:tc>
          <w:tcPr>
            <w:tcW w:w="475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≥16处</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16处</w:t>
            </w:r>
          </w:p>
        </w:tc>
      </w:tr>
      <w:tr>
        <w:tblPrEx>
          <w:tblCellMar>
            <w:top w:w="0" w:type="dxa"/>
            <w:left w:w="108" w:type="dxa"/>
            <w:bottom w:w="0" w:type="dxa"/>
            <w:right w:w="108" w:type="dxa"/>
          </w:tblCellMar>
        </w:tblPrEx>
        <w:trPr>
          <w:trHeight w:val="296"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数量指标</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完成天网工程设施设备运维数量</w:t>
            </w:r>
          </w:p>
        </w:tc>
        <w:tc>
          <w:tcPr>
            <w:tcW w:w="475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≥192台套</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192台套</w:t>
            </w:r>
          </w:p>
        </w:tc>
      </w:tr>
      <w:tr>
        <w:tblPrEx>
          <w:tblCellMar>
            <w:top w:w="0" w:type="dxa"/>
            <w:left w:w="108" w:type="dxa"/>
            <w:bottom w:w="0" w:type="dxa"/>
            <w:right w:w="108" w:type="dxa"/>
          </w:tblCellMar>
        </w:tblPrEx>
        <w:trPr>
          <w:trHeight w:val="296"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效益指标</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社会效益指标</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天网工程服务辖区内群众</w:t>
            </w:r>
          </w:p>
        </w:tc>
        <w:tc>
          <w:tcPr>
            <w:tcW w:w="475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≥300人次</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320人次</w:t>
            </w:r>
          </w:p>
        </w:tc>
      </w:tr>
      <w:tr>
        <w:tblPrEx>
          <w:tblCellMar>
            <w:top w:w="0" w:type="dxa"/>
            <w:left w:w="108" w:type="dxa"/>
            <w:bottom w:w="0" w:type="dxa"/>
            <w:right w:w="108" w:type="dxa"/>
          </w:tblCellMar>
        </w:tblPrEx>
        <w:trPr>
          <w:trHeight w:val="296"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社会效益指标</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天网工程辖区内外提供视频线索占比</w:t>
            </w:r>
          </w:p>
        </w:tc>
        <w:tc>
          <w:tcPr>
            <w:tcW w:w="475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≥90%</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90.94%</w:t>
            </w:r>
          </w:p>
        </w:tc>
      </w:tr>
      <w:tr>
        <w:tblPrEx>
          <w:tblCellMar>
            <w:top w:w="0" w:type="dxa"/>
            <w:left w:w="108" w:type="dxa"/>
            <w:bottom w:w="0" w:type="dxa"/>
            <w:right w:w="108" w:type="dxa"/>
          </w:tblCellMar>
        </w:tblPrEx>
        <w:trPr>
          <w:trHeight w:val="306" w:hRule="atLeast"/>
        </w:trPr>
        <w:tc>
          <w:tcPr>
            <w:tcW w:w="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b/>
                <w:bCs/>
                <w:i w:val="0"/>
                <w:color w:val="000000"/>
                <w:kern w:val="0"/>
                <w:sz w:val="21"/>
                <w:szCs w:val="21"/>
                <w:u w:val="none"/>
                <w:lang w:val="en-US" w:eastAsia="zh-CN" w:bidi="ar"/>
              </w:rPr>
            </w:pPr>
            <w:r>
              <w:rPr>
                <w:rFonts w:hint="eastAsia" w:ascii="方正仿宋_GB2312" w:hAnsi="方正仿宋_GB2312" w:eastAsia="方正仿宋_GB2312" w:cs="方正仿宋_GB2312"/>
                <w:b/>
                <w:bCs/>
                <w:i w:val="0"/>
                <w:color w:val="000000"/>
                <w:kern w:val="0"/>
                <w:sz w:val="21"/>
                <w:szCs w:val="21"/>
                <w:u w:val="none"/>
                <w:lang w:val="en-US" w:eastAsia="zh-CN" w:bidi="ar"/>
              </w:rPr>
              <w:t>生态效益指标</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达到国家水、大气、声音等质量监测标准</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定性（达到/未达到）</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方正仿宋_GB2312" w:hAnsi="方正仿宋_GB2312" w:eastAsia="方正仿宋_GB2312" w:cs="方正仿宋_GB2312"/>
                <w:i w:val="0"/>
                <w:color w:val="000000"/>
                <w:kern w:val="0"/>
                <w:sz w:val="21"/>
                <w:szCs w:val="21"/>
                <w:u w:val="none"/>
                <w:lang w:val="en-US" w:eastAsia="zh-CN" w:bidi="ar"/>
              </w:rPr>
            </w:pPr>
            <w:r>
              <w:rPr>
                <w:rFonts w:hint="eastAsia" w:ascii="方正仿宋_GB2312" w:hAnsi="方正仿宋_GB2312" w:eastAsia="方正仿宋_GB2312" w:cs="方正仿宋_GB2312"/>
                <w:i w:val="0"/>
                <w:color w:val="000000"/>
                <w:kern w:val="0"/>
                <w:sz w:val="21"/>
                <w:szCs w:val="21"/>
                <w:u w:val="none"/>
                <w:lang w:val="en-US" w:eastAsia="zh-CN" w:bidi="ar"/>
              </w:rPr>
              <w:t>达到</w:t>
            </w:r>
          </w:p>
        </w:tc>
      </w:tr>
    </w:tbl>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eastAsia" w:ascii="CESI黑体-GB2312" w:hAnsi="CESI黑体-GB2312" w:eastAsia="CESI黑体-GB2312" w:cs="CESI黑体-GB2312"/>
          <w:kern w:val="2"/>
          <w:sz w:val="32"/>
          <w:szCs w:val="24"/>
          <w:highlight w:val="none"/>
          <w:lang w:val="en-US" w:eastAsia="zh-CN" w:bidi="ar-SA"/>
        </w:rPr>
        <w:t>附表3-1</w:t>
      </w:r>
    </w:p>
    <w:p>
      <w:pPr>
        <w:tabs>
          <w:tab w:val="left" w:pos="541"/>
        </w:tabs>
        <w:spacing w:after="223" w:afterLines="50"/>
        <w:ind w:firstLine="0" w:firstLineChars="0"/>
        <w:jc w:val="center"/>
        <w:rPr>
          <w:rFonts w:ascii="仿宋_GB2312" w:hAnsi="仿宋" w:eastAsia="仿宋_GB2312"/>
          <w:sz w:val="28"/>
          <w:szCs w:val="28"/>
        </w:rPr>
      </w:pPr>
      <w:r>
        <w:rPr>
          <w:rFonts w:hint="eastAsia" w:ascii="方正小标宋简体" w:hAnsi="方正小标宋简体" w:eastAsia="方正小标宋简体" w:cs="方正小标宋简体"/>
          <w:b w:val="0"/>
          <w:bCs w:val="0"/>
          <w:i w:val="0"/>
          <w:iCs w:val="0"/>
          <w:snapToGrid w:val="0"/>
          <w:color w:val="000000"/>
          <w:kern w:val="0"/>
          <w:sz w:val="44"/>
          <w:szCs w:val="44"/>
          <w:u w:val="none"/>
          <w:lang w:val="en-US" w:eastAsia="zh-CN" w:bidi="ar"/>
        </w:rPr>
        <w:t>部门预算项目支出绩效评价表（2025年度）</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8"/>
        <w:gridCol w:w="1002"/>
        <w:gridCol w:w="837"/>
        <w:gridCol w:w="1225"/>
        <w:gridCol w:w="427"/>
        <w:gridCol w:w="777"/>
        <w:gridCol w:w="427"/>
        <w:gridCol w:w="899"/>
        <w:gridCol w:w="522"/>
        <w:gridCol w:w="455"/>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项目名称</w:t>
            </w:r>
          </w:p>
        </w:tc>
        <w:tc>
          <w:tcPr>
            <w:tcW w:w="4043"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both"/>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51000025T000013327982-2025年医疗服务与保障能力提升(疾控体系建设）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主管部门</w:t>
            </w:r>
          </w:p>
        </w:tc>
        <w:tc>
          <w:tcPr>
            <w:tcW w:w="2193"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省政府科学城办事处部门</w:t>
            </w:r>
          </w:p>
        </w:tc>
        <w:tc>
          <w:tcPr>
            <w:tcW w:w="493" w:type="pct"/>
            <w:tcBorders>
              <w:top w:val="nil"/>
              <w:left w:val="nil"/>
              <w:bottom w:val="nil"/>
              <w:right w:val="nil"/>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实施单位 （盖章）</w:t>
            </w:r>
          </w:p>
        </w:tc>
        <w:tc>
          <w:tcPr>
            <w:tcW w:w="135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省政府科学城办事处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项目基本情况</w:t>
            </w:r>
          </w:p>
        </w:tc>
        <w:tc>
          <w:tcPr>
            <w:tcW w:w="60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1.项目年度目标完成情况</w:t>
            </w:r>
          </w:p>
        </w:tc>
        <w:tc>
          <w:tcPr>
            <w:tcW w:w="2193"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项目年度目标</w:t>
            </w:r>
          </w:p>
        </w:tc>
        <w:tc>
          <w:tcPr>
            <w:tcW w:w="1850"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2193"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完成卫生监督快速检测，提高现场执法监督率，进一步提高现场执法服务效率，进一步提升疾病预防控制能力。</w:t>
            </w:r>
          </w:p>
        </w:tc>
        <w:tc>
          <w:tcPr>
            <w:tcW w:w="1850"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已全面完成卫生监督快速检测任务，现场执法监督率、执法服务效率均超额达成年度指标，疾病预防控制能力得到显著提升，各项工作均符合预期要求。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2.项目实施内容及过程概述</w:t>
            </w:r>
          </w:p>
        </w:tc>
        <w:tc>
          <w:tcPr>
            <w:tcW w:w="4043"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2025年按计划采购检测设备，开展55批次卫生监督快速检测，组织执法人员专业培训3次，优化现场执法工作流程，完善疾病预防控制应急预案，确保项目高效有序实施，各项指标均超额完成年度目标。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4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预算执行情况（10分）</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年度预算数（万元）</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年初预算</w:t>
            </w:r>
          </w:p>
        </w:tc>
        <w:tc>
          <w:tcPr>
            <w:tcW w:w="7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调整后预算数</w:t>
            </w:r>
          </w:p>
        </w:tc>
        <w:tc>
          <w:tcPr>
            <w:tcW w:w="94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预算执行数</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得分</w:t>
            </w:r>
          </w:p>
        </w:tc>
        <w:tc>
          <w:tcPr>
            <w:tcW w:w="7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总额</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45.00</w:t>
            </w:r>
          </w:p>
        </w:tc>
        <w:tc>
          <w:tcPr>
            <w:tcW w:w="7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45.00</w:t>
            </w:r>
          </w:p>
        </w:tc>
        <w:tc>
          <w:tcPr>
            <w:tcW w:w="94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45.00</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78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其中：财政资金</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45.00</w:t>
            </w:r>
          </w:p>
        </w:tc>
        <w:tc>
          <w:tcPr>
            <w:tcW w:w="7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45.00</w:t>
            </w:r>
          </w:p>
        </w:tc>
        <w:tc>
          <w:tcPr>
            <w:tcW w:w="94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45.00</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78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财政专户管理资金</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7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94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78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单位资金</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7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94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78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其他资金</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c>
          <w:tcPr>
            <w:tcW w:w="73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c>
          <w:tcPr>
            <w:tcW w:w="944" w:type="pct"/>
            <w:gridSpan w:val="3"/>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78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4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绩效指标（90分）</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一级指标</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二级指标</w:t>
            </w:r>
          </w:p>
        </w:tc>
        <w:tc>
          <w:tcPr>
            <w:tcW w:w="7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指标性质</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度量单位</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得分</w:t>
            </w:r>
          </w:p>
        </w:tc>
        <w:tc>
          <w:tcPr>
            <w:tcW w:w="7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产出指标</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数量指标</w:t>
            </w:r>
          </w:p>
        </w:tc>
        <w:tc>
          <w:tcPr>
            <w:tcW w:w="73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卫生监督快速检测数量</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批次</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default" w:ascii="方正仿宋_GB2312" w:hAnsi="方正仿宋_GB2312" w:eastAsia="方正仿宋_GB2312" w:cs="方正仿宋_GB2312"/>
                <w:b w:val="0"/>
                <w:bCs w:val="0"/>
                <w:i w:val="0"/>
                <w:iCs w:val="0"/>
                <w:color w:val="auto"/>
                <w:sz w:val="21"/>
                <w:szCs w:val="21"/>
                <w:highlight w:val="none"/>
                <w:u w:val="none"/>
                <w:lang w:val="en-US"/>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785"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eastAsia="zh-CN"/>
              </w:rPr>
            </w:pPr>
            <w:r>
              <w:rPr>
                <w:rFonts w:hint="eastAsia" w:ascii="方正仿宋_GB2312" w:hAnsi="方正仿宋_GB2312" w:eastAsia="方正仿宋_GB2312" w:cs="方正仿宋_GB2312"/>
                <w:color w:val="auto"/>
                <w:sz w:val="21"/>
                <w:szCs w:val="21"/>
                <w:highlight w:val="none"/>
                <w:lang w:eastAsia="zh-CN"/>
              </w:rPr>
              <w:t>项目涉及</w:t>
            </w:r>
            <w:r>
              <w:rPr>
                <w:rFonts w:hint="eastAsia" w:ascii="方正仿宋_GB2312" w:hAnsi="方正仿宋_GB2312" w:eastAsia="方正仿宋_GB2312" w:cs="方正仿宋_GB2312"/>
                <w:color w:val="auto"/>
                <w:sz w:val="21"/>
                <w:szCs w:val="21"/>
                <w:highlight w:val="none"/>
              </w:rPr>
              <w:t>及设备种类多、技术参数复杂，且对设备的后续校准、检测服务有明确要求</w:t>
            </w:r>
            <w:r>
              <w:rPr>
                <w:rFonts w:hint="eastAsia" w:ascii="方正仿宋_GB2312" w:hAnsi="方正仿宋_GB2312" w:eastAsia="方正仿宋_GB2312" w:cs="方正仿宋_GB2312"/>
                <w:color w:val="auto"/>
                <w:sz w:val="21"/>
                <w:szCs w:val="21"/>
                <w:highlight w:val="none"/>
                <w:lang w:eastAsia="zh-CN"/>
              </w:rPr>
              <w:t>，</w:t>
            </w:r>
            <w:r>
              <w:rPr>
                <w:rFonts w:hint="eastAsia" w:ascii="方正仿宋_GB2312" w:hAnsi="方正仿宋_GB2312" w:eastAsia="方正仿宋_GB2312" w:cs="方正仿宋_GB2312"/>
                <w:color w:val="auto"/>
                <w:sz w:val="21"/>
                <w:szCs w:val="21"/>
                <w:highlight w:val="none"/>
              </w:rPr>
              <w:t>采购工作在推进过程中遇到一定困难</w:t>
            </w:r>
            <w:r>
              <w:rPr>
                <w:rFonts w:hint="eastAsia" w:ascii="方正仿宋_GB2312" w:hAnsi="方正仿宋_GB2312" w:eastAsia="方正仿宋_GB2312" w:cs="方正仿宋_GB2312"/>
                <w:color w:val="auto"/>
                <w:sz w:val="21"/>
                <w:szCs w:val="21"/>
                <w:highlight w:val="none"/>
                <w:lang w:eastAsia="zh-CN"/>
              </w:rPr>
              <w:t>，全力推进中。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数量指标</w:t>
            </w:r>
          </w:p>
        </w:tc>
        <w:tc>
          <w:tcPr>
            <w:tcW w:w="738" w:type="pct"/>
            <w:tcBorders>
              <w:top w:val="nil"/>
              <w:left w:val="nil"/>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现场执法监督终端使用率占比</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30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default" w:ascii="方正仿宋_GB2312" w:hAnsi="方正仿宋_GB2312" w:eastAsia="方正仿宋_GB2312" w:cs="方正仿宋_GB2312"/>
                <w:b w:val="0"/>
                <w:bCs w:val="0"/>
                <w:i w:val="0"/>
                <w:iCs w:val="0"/>
                <w:color w:val="auto"/>
                <w:sz w:val="21"/>
                <w:szCs w:val="21"/>
                <w:highlight w:val="none"/>
                <w:u w:val="none"/>
                <w:lang w:val="en-US"/>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785" w:type="pct"/>
            <w:vMerge w:val="continue"/>
            <w:tcBorders>
              <w:left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510" w:type="pct"/>
            <w:tcBorders>
              <w:top w:val="nil"/>
              <w:left w:val="nil"/>
              <w:bottom w:val="nil"/>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质量指标</w:t>
            </w:r>
          </w:p>
        </w:tc>
        <w:tc>
          <w:tcPr>
            <w:tcW w:w="738" w:type="pct"/>
            <w:tcBorders>
              <w:top w:val="nil"/>
              <w:left w:val="nil"/>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项目验收合格率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w:t>
            </w:r>
          </w:p>
        </w:tc>
        <w:tc>
          <w:tcPr>
            <w:tcW w:w="785" w:type="pct"/>
            <w:vMerge w:val="continue"/>
            <w:tcBorders>
              <w:left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效益指标</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社会效益指标</w:t>
            </w:r>
          </w:p>
        </w:tc>
        <w:tc>
          <w:tcPr>
            <w:tcW w:w="738" w:type="pct"/>
            <w:tcBorders>
              <w:top w:val="nil"/>
              <w:left w:val="nil"/>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提高现场执法服务效率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定性</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进一步提高</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w:t>
            </w:r>
          </w:p>
        </w:tc>
        <w:tc>
          <w:tcPr>
            <w:tcW w:w="785" w:type="pct"/>
            <w:vMerge w:val="continue"/>
            <w:tcBorders>
              <w:left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606"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社会效益指标</w:t>
            </w:r>
          </w:p>
        </w:tc>
        <w:tc>
          <w:tcPr>
            <w:tcW w:w="73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提升疾病预防控制能力</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定性</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进一步提升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w:t>
            </w:r>
          </w:p>
        </w:tc>
        <w:tc>
          <w:tcPr>
            <w:tcW w:w="785" w:type="pct"/>
            <w:vMerge w:val="continue"/>
            <w:tcBorders>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42"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default" w:ascii="方正仿宋_GB2312" w:hAnsi="方正仿宋_GB2312" w:eastAsia="方正仿宋_GB2312" w:cs="方正仿宋_GB2312"/>
                <w:b w:val="0"/>
                <w:bCs w:val="0"/>
                <w:i w:val="0"/>
                <w:iCs w:val="0"/>
                <w:color w:val="auto"/>
                <w:sz w:val="21"/>
                <w:szCs w:val="21"/>
                <w:highlight w:val="none"/>
                <w:u w:val="none"/>
                <w:lang w:val="en-US"/>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80</w:t>
            </w:r>
          </w:p>
        </w:tc>
        <w:tc>
          <w:tcPr>
            <w:tcW w:w="785"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评价结论</w:t>
            </w:r>
          </w:p>
        </w:tc>
        <w:tc>
          <w:tcPr>
            <w:tcW w:w="4650"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60" w:lineRule="exact"/>
              <w:jc w:val="left"/>
              <w:textAlignment w:val="auto"/>
              <w:rPr>
                <w:rFonts w:hint="eastAsia" w:ascii="方正仿宋_GB2312" w:hAnsi="方正仿宋_GB2312" w:eastAsia="方正仿宋_GB2312" w:cs="方正仿宋_GB2312"/>
                <w:b w:val="0"/>
                <w:bCs w:val="0"/>
                <w:i w:val="0"/>
                <w:iCs w:val="0"/>
                <w:color w:val="auto"/>
                <w:sz w:val="18"/>
                <w:szCs w:val="18"/>
                <w:highlight w:val="none"/>
                <w:u w:val="none"/>
              </w:rPr>
            </w:pPr>
            <w:r>
              <w:rPr>
                <w:rFonts w:hint="eastAsia" w:ascii="方正仿宋_GB2312" w:hAnsi="方正仿宋_GB2312" w:eastAsia="方正仿宋_GB2312" w:cs="方正仿宋_GB2312"/>
                <w:b w:val="0"/>
                <w:bCs w:val="0"/>
                <w:i w:val="0"/>
                <w:iCs w:val="0"/>
                <w:snapToGrid w:val="0"/>
                <w:color w:val="auto"/>
                <w:kern w:val="0"/>
                <w:sz w:val="18"/>
                <w:szCs w:val="18"/>
                <w:highlight w:val="none"/>
                <w:u w:val="none"/>
                <w:lang w:val="en-US" w:eastAsia="zh-CN" w:bidi="ar"/>
              </w:rPr>
              <w:t>继续全力推进项目开展，完成各项绩效指标。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存在问题</w:t>
            </w:r>
          </w:p>
        </w:tc>
        <w:tc>
          <w:tcPr>
            <w:tcW w:w="4650"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60" w:lineRule="exact"/>
              <w:jc w:val="left"/>
              <w:textAlignment w:val="auto"/>
              <w:rPr>
                <w:rFonts w:hint="eastAsia" w:ascii="方正仿宋_GB2312" w:hAnsi="方正仿宋_GB2312" w:eastAsia="方正仿宋_GB2312" w:cs="方正仿宋_GB2312"/>
                <w:b w:val="0"/>
                <w:bCs w:val="0"/>
                <w:i w:val="0"/>
                <w:iCs w:val="0"/>
                <w:color w:val="auto"/>
                <w:sz w:val="18"/>
                <w:szCs w:val="18"/>
                <w:highlight w:val="none"/>
                <w:u w:val="none"/>
              </w:rPr>
            </w:pPr>
            <w:r>
              <w:rPr>
                <w:rFonts w:hint="eastAsia" w:ascii="方正仿宋_GB2312" w:hAnsi="方正仿宋_GB2312" w:eastAsia="方正仿宋_GB2312" w:cs="方正仿宋_GB2312"/>
                <w:b w:val="0"/>
                <w:bCs w:val="0"/>
                <w:i w:val="0"/>
                <w:iCs w:val="0"/>
                <w:snapToGrid w:val="0"/>
                <w:color w:val="auto"/>
                <w:kern w:val="0"/>
                <w:sz w:val="18"/>
                <w:szCs w:val="18"/>
                <w:highlight w:val="none"/>
                <w:u w:val="none"/>
                <w:lang w:val="en-US" w:eastAsia="zh-CN" w:bidi="ar"/>
              </w:rPr>
              <w:t>部分偏远区域卫生监督检测覆盖频次不足；检测设备更新换代速度有待加快；基层执法人员专业技能水平需进一步提升；与社区卫生服务中心的协作联动机制可进一步完善，以全面提升工作效能。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改进措施</w:t>
            </w:r>
          </w:p>
        </w:tc>
        <w:tc>
          <w:tcPr>
            <w:tcW w:w="4650"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60" w:lineRule="exact"/>
              <w:jc w:val="left"/>
              <w:textAlignment w:val="auto"/>
              <w:rPr>
                <w:rFonts w:hint="eastAsia" w:ascii="方正仿宋_GB2312" w:hAnsi="方正仿宋_GB2312" w:eastAsia="方正仿宋_GB2312" w:cs="方正仿宋_GB2312"/>
                <w:b w:val="0"/>
                <w:bCs w:val="0"/>
                <w:i w:val="0"/>
                <w:iCs w:val="0"/>
                <w:color w:val="auto"/>
                <w:sz w:val="18"/>
                <w:szCs w:val="18"/>
                <w:highlight w:val="none"/>
                <w:u w:val="none"/>
              </w:rPr>
            </w:pPr>
            <w:r>
              <w:rPr>
                <w:rFonts w:hint="eastAsia" w:ascii="方正仿宋_GB2312" w:hAnsi="方正仿宋_GB2312" w:eastAsia="方正仿宋_GB2312" w:cs="方正仿宋_GB2312"/>
                <w:b w:val="0"/>
                <w:bCs w:val="0"/>
                <w:i w:val="0"/>
                <w:iCs w:val="0"/>
                <w:snapToGrid w:val="0"/>
                <w:color w:val="auto"/>
                <w:kern w:val="0"/>
                <w:sz w:val="18"/>
                <w:szCs w:val="18"/>
                <w:highlight w:val="none"/>
                <w:u w:val="none"/>
                <w:lang w:val="en-US" w:eastAsia="zh-CN" w:bidi="ar"/>
              </w:rPr>
              <w:t>1.增加偏远区域检测频次，确保全覆盖；2.申请专项资金用于检测设备更新；3.每季度组织执法人员专业培训；4.建立与社区卫生服务中心的数据共享和协作机制，形成工作合力，持续提升卫生监督和疾控工作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39"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Style w:val="35"/>
                <w:rFonts w:hint="eastAsia" w:ascii="方正仿宋_GB2312" w:hAnsi="方正仿宋_GB2312" w:eastAsia="方正仿宋_GB2312" w:cs="方正仿宋_GB2312"/>
                <w:b/>
                <w:bCs/>
                <w:snapToGrid w:val="0"/>
                <w:color w:val="auto"/>
                <w:sz w:val="21"/>
                <w:szCs w:val="21"/>
                <w:highlight w:val="none"/>
                <w:lang w:val="en-US" w:eastAsia="zh-CN" w:bidi="ar"/>
              </w:rPr>
              <w:t>项目负责人：</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赵明岭</w:t>
            </w:r>
          </w:p>
        </w:tc>
        <w:tc>
          <w:tcPr>
            <w:tcW w:w="2560"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rPr>
            </w:pPr>
            <w:r>
              <w:rPr>
                <w:rStyle w:val="35"/>
                <w:rFonts w:hint="eastAsia" w:ascii="方正仿宋_GB2312" w:hAnsi="方正仿宋_GB2312" w:eastAsia="方正仿宋_GB2312" w:cs="方正仿宋_GB2312"/>
                <w:b/>
                <w:bCs/>
                <w:snapToGrid w:val="0"/>
                <w:color w:val="auto"/>
                <w:sz w:val="21"/>
                <w:szCs w:val="21"/>
                <w:highlight w:val="none"/>
                <w:lang w:val="en-US" w:eastAsia="zh-CN" w:bidi="ar"/>
              </w:rPr>
              <w:t>财务负责人：</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房晓妮</w:t>
            </w:r>
          </w:p>
        </w:tc>
      </w:tr>
    </w:tbl>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eastAsia" w:ascii="CESI黑体-GB2312" w:hAnsi="CESI黑体-GB2312" w:eastAsia="CESI黑体-GB2312" w:cs="CESI黑体-GB2312"/>
          <w:kern w:val="2"/>
          <w:sz w:val="32"/>
          <w:szCs w:val="24"/>
          <w:highlight w:val="none"/>
          <w:lang w:val="en-US" w:eastAsia="zh-CN" w:bidi="ar-SA"/>
        </w:rPr>
        <w:t>附表3-2</w:t>
      </w:r>
    </w:p>
    <w:p>
      <w:pPr>
        <w:tabs>
          <w:tab w:val="left" w:pos="541"/>
        </w:tabs>
        <w:spacing w:after="223" w:afterLines="50"/>
        <w:ind w:firstLine="0" w:firstLineChars="0"/>
        <w:jc w:val="center"/>
        <w:rPr>
          <w:rFonts w:hint="default" w:ascii="黑体" w:hAnsi="宋体" w:eastAsia="黑体" w:cs="黑体"/>
          <w:b/>
          <w:bCs/>
          <w:i w:val="0"/>
          <w:iCs w:val="0"/>
          <w:snapToGrid w:val="0"/>
          <w:color w:val="000000"/>
          <w:kern w:val="0"/>
          <w:sz w:val="30"/>
          <w:szCs w:val="30"/>
          <w:u w:val="none"/>
          <w:lang w:val="en-US" w:eastAsia="zh-CN" w:bidi="ar"/>
        </w:rPr>
      </w:pPr>
      <w:r>
        <w:rPr>
          <w:rFonts w:hint="eastAsia" w:ascii="方正小标宋简体" w:hAnsi="方正小标宋简体" w:eastAsia="方正小标宋简体" w:cs="方正小标宋简体"/>
          <w:b w:val="0"/>
          <w:bCs w:val="0"/>
          <w:i w:val="0"/>
          <w:iCs w:val="0"/>
          <w:snapToGrid w:val="0"/>
          <w:color w:val="000000"/>
          <w:kern w:val="0"/>
          <w:sz w:val="44"/>
          <w:szCs w:val="44"/>
          <w:u w:val="none"/>
          <w:lang w:val="en-US" w:eastAsia="zh-CN" w:bidi="ar"/>
        </w:rPr>
        <w:t>部门预算项目支出绩效评价表（2025年度）</w:t>
      </w:r>
    </w:p>
    <w:tbl>
      <w:tblPr>
        <w:tblStyle w:val="1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4"/>
        <w:gridCol w:w="1054"/>
        <w:gridCol w:w="882"/>
        <w:gridCol w:w="1180"/>
        <w:gridCol w:w="402"/>
        <w:gridCol w:w="832"/>
        <w:gridCol w:w="399"/>
        <w:gridCol w:w="1017"/>
        <w:gridCol w:w="448"/>
        <w:gridCol w:w="519"/>
        <w:gridCol w:w="1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6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both"/>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51000025T000013328001-2025年医疗服务与保障能力提升（卫生健康人才培养）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96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主管部门</w:t>
            </w:r>
          </w:p>
        </w:tc>
        <w:tc>
          <w:tcPr>
            <w:tcW w:w="2169"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省政府科学城办事处部门</w:t>
            </w:r>
          </w:p>
        </w:tc>
        <w:tc>
          <w:tcPr>
            <w:tcW w:w="596" w:type="pct"/>
            <w:tcBorders>
              <w:top w:val="nil"/>
              <w:left w:val="nil"/>
              <w:bottom w:val="nil"/>
              <w:right w:val="nil"/>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实施单位 （盖章）</w:t>
            </w:r>
          </w:p>
        </w:tc>
        <w:tc>
          <w:tcPr>
            <w:tcW w:w="1265"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省政府科学城办事处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项目基本情况</w:t>
            </w: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1.项目年度目标完成情况</w:t>
            </w:r>
          </w:p>
        </w:tc>
        <w:tc>
          <w:tcPr>
            <w:tcW w:w="2169"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项目年度目标</w:t>
            </w:r>
          </w:p>
        </w:tc>
        <w:tc>
          <w:tcPr>
            <w:tcW w:w="1862"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8"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2169"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落实《国务院办公厅关于深化医教协同进一步推进医学教育改革与发展的意见》（国办发〔2017〕63号）、《国务院办公厅关于改革完善全科医生培养与使用激励机制的意见》（国办发〔2018〕3号）、《国务院办公厅关于加快医学教育创新发展的指导意见》（国办发〔2020〕34号）、《国家卫生计生委等7部门关于建立住院医师规范化培训制度的指导意见》（国卫科教发〔2013〕56号）等文件精神，加大卫生健康人才培养培训力度。经住院医师规范化培训的临床医师进一步增加，全科、精神科、儿科等紧缺专业卫生健康人才进一步充实，基层医疗卫生机构医疗水平不断提升，整个卫生健康人才队伍的专业结构、城乡结构和区域分布不断优化。完成2025年中央财政经费支持的本地区各项卫生健康培训任务。</w:t>
            </w:r>
          </w:p>
        </w:tc>
        <w:tc>
          <w:tcPr>
            <w:tcW w:w="1862"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25年按上级部门相关要求及对口单位实际需求，共安排16人完成支援任务。支援期间严格遵守相关政策要求及受援单位规章制度，全身心投入帮扶工作中，全满完成支援任务，帮助受援单位提高了医疗技术水平，得到了患者群体及受援医师的一致好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25年按上级部门相关要求及对口单位实际需求，共安排16人（含昭化4人）完成支援任务。此外累计派11人次专家赴陕西富平开展医疗帮扶，推广适宜技术。对口支援期间医院严格执行相关政策要求，强调工作纪律，狠抓帮扶质量，所对口支援人员均顺利完成帮扶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34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预算执行情况（10分）</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年度预算数（万元）</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年初预算</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调整后预算数</w:t>
            </w:r>
          </w:p>
        </w:tc>
        <w:tc>
          <w:tcPr>
            <w:tcW w:w="958"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预算执行数</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预算执行率</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得分</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总额</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9.12</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9.60</w:t>
            </w:r>
          </w:p>
        </w:tc>
        <w:tc>
          <w:tcPr>
            <w:tcW w:w="958"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9.60</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10</w:t>
            </w:r>
          </w:p>
        </w:tc>
        <w:tc>
          <w:tcPr>
            <w:tcW w:w="69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其中：财政资金</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9.12</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9.60</w:t>
            </w:r>
          </w:p>
        </w:tc>
        <w:tc>
          <w:tcPr>
            <w:tcW w:w="958"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9.60</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9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财政专户管理资金</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958"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9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单位资金</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958"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9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其他资金</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958" w:type="pct"/>
            <w:gridSpan w:val="3"/>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9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34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绩效指标（90分）</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一级指标</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二级</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三级指标</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指标性质</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度量单位</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完成值</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得分</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产出指标</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数量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万名医师支援农村工程派驻完成率</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质量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支（受）援人员考核合格率</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时效</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1年</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年</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1年</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成本指标</w:t>
            </w:r>
          </w:p>
        </w:tc>
        <w:tc>
          <w:tcPr>
            <w:tcW w:w="517" w:type="pc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成本</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中央财政对对口支援“传帮带”项目投入标准</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9.6</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万元/年</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9.6万</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效益指标</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社会效益指标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基层医疗卫生机构医疗水平</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定性</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大幅提高</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完成</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可持续影响指标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卫生健康人才队伍的专业结构、城乡结构和区域分布</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定性</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不断优化</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完成</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满意度指标</w:t>
            </w:r>
          </w:p>
        </w:tc>
        <w:tc>
          <w:tcPr>
            <w:tcW w:w="5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满意度指标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参培学员满意度</w:t>
            </w: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80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5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34"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合计</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18"/>
                <w:szCs w:val="18"/>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18"/>
                <w:szCs w:val="18"/>
                <w:highlight w:val="none"/>
                <w:u w:val="none"/>
                <w:lang w:val="en-US" w:eastAsia="zh-CN" w:bidi="ar"/>
              </w:rPr>
              <w:t>100</w:t>
            </w:r>
          </w:p>
        </w:tc>
        <w:tc>
          <w:tcPr>
            <w:tcW w:w="3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both"/>
              <w:textAlignment w:val="auto"/>
              <w:rPr>
                <w:rFonts w:hint="eastAsia" w:ascii="方正仿宋_GB2312" w:hAnsi="方正仿宋_GB2312" w:eastAsia="方正仿宋_GB2312" w:cs="方正仿宋_GB2312"/>
                <w:b w:val="0"/>
                <w:bCs w:val="0"/>
                <w:i w:val="0"/>
                <w:iCs w:val="0"/>
                <w:color w:val="auto"/>
                <w:sz w:val="18"/>
                <w:szCs w:val="18"/>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18"/>
                <w:szCs w:val="18"/>
                <w:highlight w:val="none"/>
                <w:u w:val="none"/>
                <w:lang w:val="en-US" w:eastAsia="zh-CN" w:bidi="ar"/>
              </w:rPr>
              <w:t>100</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25年度我院按照省市相要求，安排16人驻点支援，顺利完成支援任务。帮扶效果良好，受援单位及受援医师均对我院支援医师表示满意，受援科室临床技术水平及管理水平均有一定提升，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帮扶结束后后续支持力度不够，需要进一步加强。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建立长期联系机制，与受援医院、受援医师建立稳定联系，使帮扶成效长期发挥作用。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14"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项目负责人：</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邱立志</w:t>
            </w:r>
          </w:p>
        </w:tc>
        <w:tc>
          <w:tcPr>
            <w:tcW w:w="2585"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财务负责人：</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王慧慧</w:t>
            </w:r>
          </w:p>
        </w:tc>
      </w:tr>
    </w:tbl>
    <w:p>
      <w:pPr>
        <w:tabs>
          <w:tab w:val="left" w:pos="541"/>
        </w:tabs>
        <w:ind w:firstLine="0" w:firstLineChars="0"/>
        <w:jc w:val="center"/>
        <w:rPr>
          <w:rFonts w:hint="default" w:ascii="黑体" w:hAnsi="宋体" w:eastAsia="黑体" w:cs="黑体"/>
          <w:b/>
          <w:bCs/>
          <w:i w:val="0"/>
          <w:iCs w:val="0"/>
          <w:snapToGrid w:val="0"/>
          <w:color w:val="000000"/>
          <w:kern w:val="0"/>
          <w:sz w:val="30"/>
          <w:szCs w:val="30"/>
          <w:u w:val="none"/>
          <w:lang w:val="en-US" w:eastAsia="zh-CN" w:bidi="ar"/>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pStyle w:val="2"/>
        <w:rPr>
          <w:rFonts w:hint="default" w:ascii="Times New Roman" w:hAnsi="Times New Roman" w:eastAsia="黑体" w:cs="Times New Roman"/>
          <w:kern w:val="2"/>
          <w:sz w:val="32"/>
          <w:szCs w:val="24"/>
          <w:highlight w:val="none"/>
          <w:lang w:val="en-US" w:eastAsia="zh-CN" w:bidi="ar-SA"/>
        </w:rPr>
      </w:pPr>
    </w:p>
    <w:p>
      <w:pPr>
        <w:pStyle w:val="2"/>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eastAsia" w:ascii="CESI黑体-GB2312" w:hAnsi="CESI黑体-GB2312" w:eastAsia="CESI黑体-GB2312" w:cs="CESI黑体-GB2312"/>
          <w:kern w:val="2"/>
          <w:sz w:val="32"/>
          <w:szCs w:val="24"/>
          <w:highlight w:val="none"/>
          <w:lang w:val="en-US" w:eastAsia="zh-CN" w:bidi="ar-SA"/>
        </w:rPr>
        <w:t>附表3-3</w:t>
      </w:r>
    </w:p>
    <w:p>
      <w:pPr>
        <w:tabs>
          <w:tab w:val="left" w:pos="541"/>
        </w:tabs>
        <w:spacing w:after="223" w:afterLines="50"/>
        <w:ind w:firstLine="0" w:firstLineChars="0"/>
        <w:jc w:val="center"/>
        <w:rPr>
          <w:rFonts w:hint="default" w:ascii="黑体" w:hAnsi="宋体" w:eastAsia="黑体" w:cs="黑体"/>
          <w:b/>
          <w:bCs/>
          <w:i w:val="0"/>
          <w:iCs w:val="0"/>
          <w:snapToGrid w:val="0"/>
          <w:color w:val="000000"/>
          <w:kern w:val="0"/>
          <w:sz w:val="30"/>
          <w:szCs w:val="30"/>
          <w:u w:val="none"/>
          <w:lang w:val="en-US" w:eastAsia="zh-CN" w:bidi="ar"/>
        </w:rPr>
      </w:pPr>
      <w:r>
        <w:rPr>
          <w:rFonts w:hint="eastAsia" w:ascii="方正小标宋简体" w:hAnsi="方正小标宋简体" w:eastAsia="方正小标宋简体" w:cs="方正小标宋简体"/>
          <w:b w:val="0"/>
          <w:bCs w:val="0"/>
          <w:i w:val="0"/>
          <w:iCs w:val="0"/>
          <w:snapToGrid w:val="0"/>
          <w:color w:val="000000"/>
          <w:kern w:val="0"/>
          <w:sz w:val="44"/>
          <w:szCs w:val="44"/>
          <w:u w:val="none"/>
          <w:lang w:val="en-US" w:eastAsia="zh-CN" w:bidi="ar"/>
        </w:rPr>
        <w:t>部门预算项目支出绩效评价表（2025年度）</w:t>
      </w:r>
    </w:p>
    <w:tbl>
      <w:tblPr>
        <w:tblStyle w:val="1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4"/>
        <w:gridCol w:w="1054"/>
        <w:gridCol w:w="886"/>
        <w:gridCol w:w="1180"/>
        <w:gridCol w:w="400"/>
        <w:gridCol w:w="826"/>
        <w:gridCol w:w="399"/>
        <w:gridCol w:w="1022"/>
        <w:gridCol w:w="460"/>
        <w:gridCol w:w="505"/>
        <w:gridCol w:w="1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96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51000025T000013336710-2025年重大公共卫生服务中央补助项目（疾病预防控制部分-慢性病防治）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96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主管部门</w:t>
            </w:r>
          </w:p>
        </w:tc>
        <w:tc>
          <w:tcPr>
            <w:tcW w:w="216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省政府科学城办事处部门</w:t>
            </w:r>
          </w:p>
        </w:tc>
        <w:tc>
          <w:tcPr>
            <w:tcW w:w="600" w:type="pct"/>
            <w:tcBorders>
              <w:top w:val="nil"/>
              <w:left w:val="nil"/>
              <w:bottom w:val="nil"/>
              <w:right w:val="nil"/>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实施单位 （盖章）</w:t>
            </w:r>
          </w:p>
        </w:tc>
        <w:tc>
          <w:tcPr>
            <w:tcW w:w="126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省政府科学城办事处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4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项目基本情况</w:t>
            </w: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1.项目年度目标完成情况</w:t>
            </w:r>
          </w:p>
        </w:tc>
        <w:tc>
          <w:tcPr>
            <w:tcW w:w="216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项目年度目标</w:t>
            </w:r>
          </w:p>
        </w:tc>
        <w:tc>
          <w:tcPr>
            <w:tcW w:w="1864"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216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全部胃镜检查上报量（例）5000，其中机会性筛查上报量（例）3000。</w:t>
            </w:r>
          </w:p>
        </w:tc>
        <w:tc>
          <w:tcPr>
            <w:tcW w:w="1864"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全部胃镜检查上报量（例）5021，其中机会性筛查上报量（例）3000。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2"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根据项目要求，结合医院实际，制定了具体实施方案，确保项目资金专科专用，协调内镜室、病理科、设备科等多科室协作。通过健康讲座、病友群、社区家庭医生团队等多手段宣传，提升参重点人群参与筛查意识。严格执行知情同意、术前评估，按照上消化道癌筛查及早诊早治技术方案》开展无痛胃镜检查，普遍采用高清或染色内镜（如NBI、碘染色）技术，对可疑病灶规范进行活检，规范处理活检标本，在规定时间内出具病理报告；为阳性病例建立就诊绿色通道，劝导并安排其接受规范治疗，成立质控小组，对内镜操作规范性、病理诊断准确性、数据上报及时性等进行督导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34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预算执行情况（10分）</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年度预算数（万元）</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年初预算</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调整后预算数</w:t>
            </w:r>
          </w:p>
        </w:tc>
        <w:tc>
          <w:tcPr>
            <w:tcW w:w="95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预算执行数</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预算执行率</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权重</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得分</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总额</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10.40</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10.40</w:t>
            </w:r>
          </w:p>
        </w:tc>
        <w:tc>
          <w:tcPr>
            <w:tcW w:w="95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10.40</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10</w:t>
            </w:r>
          </w:p>
        </w:tc>
        <w:tc>
          <w:tcPr>
            <w:tcW w:w="69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其中：财政资金</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10.40</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10.40</w:t>
            </w:r>
          </w:p>
        </w:tc>
        <w:tc>
          <w:tcPr>
            <w:tcW w:w="95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10.40</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9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财政专户管理资金</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95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9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单位资金</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95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9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其他资金</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954" w:type="pct"/>
            <w:gridSpan w:val="3"/>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9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4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绩效指标（90分）</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一级指标</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二级</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指标性质</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度量单位</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完成值</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权重</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得分</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产出指标</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数量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癌症早诊早治项目消化道癌人群筛查例数（大便隐血筛查）</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人次</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3000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数量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肿瘤和心脑血管专项筛查后干预与健康管理</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6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6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人次</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1000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6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数量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慢性病及其危险因素监测和分析</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人次</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2000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数量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开展女性“乳腺癌、宫颈癌</w:t>
            </w:r>
            <w:r>
              <w:rPr>
                <w:rStyle w:val="36"/>
                <w:rFonts w:ascii="方正仿宋_GB2312" w:hAnsi="方正仿宋_GB2312" w:eastAsia="方正仿宋_GB2312" w:cs="方正仿宋_GB2312"/>
                <w:b w:val="0"/>
                <w:bCs w:val="0"/>
                <w:snapToGrid w:val="0"/>
                <w:color w:val="auto"/>
                <w:sz w:val="21"/>
                <w:szCs w:val="21"/>
                <w:highlight w:val="none"/>
                <w:lang w:val="en-US" w:eastAsia="zh-CN" w:bidi="ar"/>
              </w:rPr>
              <w:t>”两癌筛查</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人次</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500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数量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开展肺结节健康管</w:t>
            </w:r>
            <w:r>
              <w:rPr>
                <w:rStyle w:val="36"/>
                <w:rFonts w:ascii="方正仿宋_GB2312" w:hAnsi="方正仿宋_GB2312" w:eastAsia="方正仿宋_GB2312" w:cs="方正仿宋_GB2312"/>
                <w:b w:val="0"/>
                <w:bCs w:val="0"/>
                <w:snapToGrid w:val="0"/>
                <w:color w:val="auto"/>
                <w:sz w:val="21"/>
                <w:szCs w:val="21"/>
                <w:highlight w:val="none"/>
                <w:lang w:val="en-US" w:eastAsia="zh-CN" w:bidi="ar"/>
              </w:rPr>
              <w:t>理</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人次</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质量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消化道癌人群筛查例数（大便隐血筛查）完成率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质量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肿瘤和心脑血管专项筛查后干预与健康管理</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90%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质量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慢性病及其危险因素监测和分析</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90%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质量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开展女性“乳腺癌、宫颈癌</w:t>
            </w:r>
            <w:r>
              <w:rPr>
                <w:rStyle w:val="36"/>
                <w:rFonts w:ascii="方正仿宋_GB2312" w:hAnsi="方正仿宋_GB2312" w:eastAsia="方正仿宋_GB2312" w:cs="方正仿宋_GB2312"/>
                <w:b w:val="0"/>
                <w:bCs w:val="0"/>
                <w:snapToGrid w:val="0"/>
                <w:color w:val="auto"/>
                <w:sz w:val="21"/>
                <w:szCs w:val="21"/>
                <w:highlight w:val="none"/>
                <w:lang w:val="en-US" w:eastAsia="zh-CN" w:bidi="ar"/>
              </w:rPr>
              <w:t>”两癌筛查</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90%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质量</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开展肺结节健康管</w:t>
            </w:r>
            <w:r>
              <w:rPr>
                <w:rStyle w:val="36"/>
                <w:rFonts w:ascii="方正仿宋_GB2312" w:hAnsi="方正仿宋_GB2312" w:eastAsia="方正仿宋_GB2312" w:cs="方正仿宋_GB2312"/>
                <w:b w:val="0"/>
                <w:bCs w:val="0"/>
                <w:snapToGrid w:val="0"/>
                <w:color w:val="auto"/>
                <w:sz w:val="21"/>
                <w:szCs w:val="21"/>
                <w:highlight w:val="none"/>
                <w:lang w:val="en-US" w:eastAsia="zh-CN" w:bidi="ar"/>
              </w:rPr>
              <w:t>理</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90%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效益指标</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可持续影指标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健康管理信息化水平和服务能力，开发健康管理APP</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定性</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中长期</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中长期</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30</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30</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48"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满意度指标</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满意度指标</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科学城辖区开展《辖区居民健康素养调查问卷》考核合格率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color w:val="auto"/>
                <w:sz w:val="21"/>
                <w:szCs w:val="21"/>
                <w:highlight w:val="none"/>
                <w:u w:val="none"/>
                <w:lang w:val="en-US" w:eastAsia="zh-CN" w:bidi="ar"/>
              </w:rPr>
              <w:t>90%</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10" w:lineRule="exact"/>
              <w:jc w:val="center"/>
              <w:rPr>
                <w:rFonts w:hint="default"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35"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合计</w:t>
            </w:r>
          </w:p>
        </w:tc>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18"/>
                <w:szCs w:val="18"/>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18"/>
                <w:szCs w:val="18"/>
                <w:highlight w:val="none"/>
                <w:u w:val="none"/>
                <w:lang w:val="en-US" w:eastAsia="zh-CN" w:bidi="ar"/>
              </w:rPr>
              <w:t>100</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both"/>
              <w:rPr>
                <w:rFonts w:hint="default" w:ascii="方正仿宋_GB2312" w:hAnsi="方正仿宋_GB2312" w:eastAsia="方正仿宋_GB2312" w:cs="方正仿宋_GB2312"/>
                <w:b w:val="0"/>
                <w:bCs w:val="0"/>
                <w:i w:val="0"/>
                <w:iCs w:val="0"/>
                <w:color w:val="auto"/>
                <w:sz w:val="18"/>
                <w:szCs w:val="18"/>
                <w:highlight w:val="none"/>
                <w:u w:val="none"/>
                <w:lang w:bidi="ar"/>
              </w:rPr>
            </w:pPr>
            <w:r>
              <w:rPr>
                <w:rFonts w:hint="eastAsia" w:ascii="方正仿宋_GB2312" w:hAnsi="方正仿宋_GB2312" w:eastAsia="方正仿宋_GB2312" w:cs="方正仿宋_GB2312"/>
                <w:b w:val="0"/>
                <w:bCs w:val="0"/>
                <w:i w:val="0"/>
                <w:iCs w:val="0"/>
                <w:color w:val="auto"/>
                <w:sz w:val="18"/>
                <w:szCs w:val="18"/>
                <w:highlight w:val="none"/>
                <w:u w:val="none"/>
                <w:lang w:val="en-US" w:eastAsia="zh-CN" w:bidi="ar"/>
              </w:rPr>
              <w:t>100</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本项目完成了年度上报5000例（实际完成5021例），机会性筛查3000例的任务，上消化道癌检出率为0.95%，早诊率达到30.95%，治疗率97.62%。实现了应报尽报。通过项目实施，活检率有所提高，初步构建了县乡村联动的筛查网络，提升了区域癌症防治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1、目标人群参与不足； 2、检出率和早诊率低，与筛查人群有关。点染率偏低与工作繁忙，耗材费用偏高有关。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1、加强精准宣传与动员。2、极强内镜操作的培训，与社区家庭医生做好沟通，扩大筛查人群。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5"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 xml:space="preserve">项目负责人： </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石小琼</w:t>
            </w:r>
          </w:p>
        </w:tc>
        <w:tc>
          <w:tcPr>
            <w:tcW w:w="2584"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财务负责人：</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王慧慧</w:t>
            </w:r>
          </w:p>
        </w:tc>
      </w:tr>
    </w:tbl>
    <w:p>
      <w:pPr>
        <w:keepNext w:val="0"/>
        <w:keepLines w:val="0"/>
        <w:pageBreakBefore w:val="0"/>
        <w:kinsoku/>
        <w:wordWrap/>
        <w:overflowPunct/>
        <w:topLinePunct w:val="0"/>
        <w:autoSpaceDE/>
        <w:autoSpaceDN/>
        <w:bidi w:val="0"/>
        <w:spacing w:line="578" w:lineRule="exact"/>
        <w:jc w:val="left"/>
        <w:textAlignment w:val="auto"/>
        <w:rPr>
          <w:rFonts w:hint="eastAsia" w:ascii="CESI黑体-GB2312" w:hAnsi="CESI黑体-GB2312" w:eastAsia="CESI黑体-GB2312" w:cs="CESI黑体-GB2312"/>
          <w:kern w:val="2"/>
          <w:sz w:val="32"/>
          <w:szCs w:val="24"/>
          <w:highlight w:val="none"/>
          <w:lang w:val="en-US" w:eastAsia="zh-CN" w:bidi="ar-SA"/>
        </w:rPr>
      </w:pPr>
    </w:p>
    <w:p>
      <w:pPr>
        <w:pStyle w:val="2"/>
        <w:rPr>
          <w:rFonts w:hint="eastAsia" w:ascii="CESI黑体-GB2312" w:hAnsi="CESI黑体-GB2312" w:eastAsia="CESI黑体-GB2312" w:cs="CESI黑体-GB2312"/>
          <w:kern w:val="2"/>
          <w:sz w:val="32"/>
          <w:szCs w:val="24"/>
          <w:highlight w:val="none"/>
          <w:lang w:val="en-US" w:eastAsia="zh-CN" w:bidi="ar-SA"/>
        </w:rPr>
      </w:pPr>
    </w:p>
    <w:p>
      <w:pPr>
        <w:pStyle w:val="2"/>
        <w:rPr>
          <w:rFonts w:hint="eastAsia" w:ascii="CESI黑体-GB2312" w:hAnsi="CESI黑体-GB2312" w:eastAsia="CESI黑体-GB2312" w:cs="CESI黑体-GB2312"/>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eastAsia" w:ascii="CESI黑体-GB2312" w:hAnsi="CESI黑体-GB2312" w:eastAsia="CESI黑体-GB2312" w:cs="CESI黑体-GB2312"/>
          <w:kern w:val="2"/>
          <w:sz w:val="32"/>
          <w:szCs w:val="24"/>
          <w:highlight w:val="none"/>
          <w:lang w:val="en-US" w:eastAsia="zh-CN" w:bidi="ar-SA"/>
        </w:rPr>
        <w:t>附表3-4</w:t>
      </w:r>
    </w:p>
    <w:p>
      <w:pPr>
        <w:tabs>
          <w:tab w:val="left" w:pos="541"/>
        </w:tabs>
        <w:spacing w:after="223" w:afterLines="50"/>
        <w:ind w:firstLine="0" w:firstLineChars="0"/>
        <w:jc w:val="center"/>
        <w:rPr>
          <w:rFonts w:hint="default" w:ascii="黑体" w:hAnsi="宋体" w:eastAsia="黑体" w:cs="黑体"/>
          <w:b/>
          <w:bCs/>
          <w:i w:val="0"/>
          <w:iCs w:val="0"/>
          <w:snapToGrid w:val="0"/>
          <w:color w:val="000000"/>
          <w:kern w:val="0"/>
          <w:sz w:val="30"/>
          <w:szCs w:val="30"/>
          <w:u w:val="none"/>
          <w:lang w:val="en-US" w:eastAsia="zh-CN" w:bidi="ar"/>
        </w:rPr>
      </w:pPr>
      <w:r>
        <w:rPr>
          <w:rFonts w:hint="eastAsia" w:ascii="方正小标宋简体" w:hAnsi="方正小标宋简体" w:eastAsia="方正小标宋简体" w:cs="方正小标宋简体"/>
          <w:b w:val="0"/>
          <w:bCs w:val="0"/>
          <w:i w:val="0"/>
          <w:iCs w:val="0"/>
          <w:snapToGrid w:val="0"/>
          <w:color w:val="000000"/>
          <w:kern w:val="0"/>
          <w:sz w:val="44"/>
          <w:szCs w:val="44"/>
          <w:u w:val="none"/>
          <w:lang w:val="en-US" w:eastAsia="zh-CN" w:bidi="ar"/>
        </w:rPr>
        <w:t>部门预算项目支出绩效评价表（2025年度）</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8"/>
        <w:gridCol w:w="638"/>
        <w:gridCol w:w="787"/>
        <w:gridCol w:w="2316"/>
        <w:gridCol w:w="427"/>
        <w:gridCol w:w="634"/>
        <w:gridCol w:w="427"/>
        <w:gridCol w:w="899"/>
        <w:gridCol w:w="521"/>
        <w:gridCol w:w="427"/>
        <w:gridCol w:w="8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83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项目名称</w:t>
            </w:r>
          </w:p>
        </w:tc>
        <w:tc>
          <w:tcPr>
            <w:tcW w:w="4165"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51000025T000013946399-2025年卫生健康省级补助资金（医疗服务-临床重点专科-核医学）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3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主管部门</w:t>
            </w:r>
          </w:p>
        </w:tc>
        <w:tc>
          <w:tcPr>
            <w:tcW w:w="2480"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省政府科学城办事处部门</w:t>
            </w:r>
          </w:p>
        </w:tc>
        <w:tc>
          <w:tcPr>
            <w:tcW w:w="496" w:type="pct"/>
            <w:tcBorders>
              <w:top w:val="nil"/>
              <w:left w:val="nil"/>
              <w:bottom w:val="nil"/>
              <w:right w:val="nil"/>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实施单位 （盖章）</w:t>
            </w:r>
          </w:p>
        </w:tc>
        <w:tc>
          <w:tcPr>
            <w:tcW w:w="1188"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省政府科学城办事处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项目基本情况</w:t>
            </w:r>
          </w:p>
        </w:tc>
        <w:tc>
          <w:tcPr>
            <w:tcW w:w="4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1.项目年度目标完成情况</w:t>
            </w:r>
          </w:p>
        </w:tc>
        <w:tc>
          <w:tcPr>
            <w:tcW w:w="2480"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项目年度目标</w:t>
            </w:r>
          </w:p>
        </w:tc>
        <w:tc>
          <w:tcPr>
            <w:tcW w:w="1684"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2480"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1.提高业务水平，优化质控技术，引进新技术、新设备，构建放射性药物平台，扩大区域影响力。</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br w:type="textWrapping"/>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2.强化研究能力，申报科研项目，发表高水平文章。</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br w:type="textWrapping"/>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3.优化培养人才，内培优秀青年人才，提升学历，开拓视野；深化院校合作，办好放射治疗专业。</w:t>
            </w:r>
          </w:p>
        </w:tc>
        <w:tc>
          <w:tcPr>
            <w:tcW w:w="1684"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1.业务提升：完成新设备采购，选派技术骨干外出进修新技术，为构建放射性药物平台、扩大区域影响力夯实硬件与技术基础。</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br w:type="textWrapping"/>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2.科研强化：科室成员成功发表 SCI 论文 1 篇，为科研项目申报积累成果。</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br w:type="textWrapping"/>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3.人才培养：支持 1 名成员攻读硕士学位，稳步推进人才梯队建设。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2.项目实施内容及过程概述</w:t>
            </w:r>
          </w:p>
        </w:tc>
        <w:tc>
          <w:tcPr>
            <w:tcW w:w="4165"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本阶段属于项目筹备期。主要围绕设备升级、技术学习、人才培育三大核心任务稳步推进。已完成核心新设备采购工作，目前正严格按照验收标准开展全流程设备核验，为项目落地筑牢硬件根基。同步选派技术骨干外出进修技术，系统学习操作规范与应用要点，全力筹备新技术临床转化与科室推广工作。学术科研方面成果显著，科室成员成功发表 SCI 论文 1 篇，实现科研产出突破。人才梯队建设持续深化，1 名科室成员攻读硕士学位，为项目长期发展储备专业力量。各项工作衔接有序，为项目高质量推进奠定坚实基础。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预算执行情况（10分）</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年度预算数（万元）</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年初预算</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调整后预算数</w:t>
            </w:r>
          </w:p>
        </w:tc>
        <w:tc>
          <w:tcPr>
            <w:tcW w:w="82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预算执行率</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权重</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得分</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总额</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82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6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其中：财政资金</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82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100.00%</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6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财政专户管理资金</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82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6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单位资金</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82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0.00%</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6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其他资金</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821" w:type="pct"/>
            <w:gridSpan w:val="3"/>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66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绩效指标（90分）</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一级指标</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二级指标</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指标性质</w:t>
            </w:r>
          </w:p>
        </w:tc>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完成值</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权重</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得分</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产出指标</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数量指标</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亚专科建设总数量</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数量指标</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核医学年均业务量</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2000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人次</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2373</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val="0"/>
                <w:bCs w:val="0"/>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数量指标</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开展新技术新项目</w:t>
            </w:r>
          </w:p>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总数量</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数量指标</w:t>
            </w:r>
          </w:p>
        </w:tc>
        <w:tc>
          <w:tcPr>
            <w:tcW w:w="127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外派医务人员进修总数</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人</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2</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数量指标</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核医学门诊人数</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1400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人次</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878</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6</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主要因区域内患者对核医学诊疗优势认知不足、新技术新设备临床应用宣传推广滞后，且与基层医疗机构转诊渠道尚未完全打通所致。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效益指标</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其他效益指标</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检查诊断随访率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98</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98</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其他效益指标</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检查诊断符合率</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94</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95</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15</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4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c>
          <w:tcPr>
            <w:tcW w:w="4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满意度指标</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满意度指标</w:t>
            </w:r>
          </w:p>
        </w:tc>
        <w:tc>
          <w:tcPr>
            <w:tcW w:w="1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住院患者满意度</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95</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95</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811"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合计</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default"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96</w:t>
            </w:r>
          </w:p>
        </w:tc>
        <w:tc>
          <w:tcPr>
            <w:tcW w:w="667" w:type="pct"/>
            <w:tcBorders>
              <w:top w:val="single" w:color="000000" w:sz="4" w:space="0"/>
              <w:left w:val="single" w:color="000000" w:sz="4" w:space="0"/>
              <w:bottom w:val="single" w:color="000000" w:sz="4" w:space="0"/>
              <w:right w:val="single" w:color="000000" w:sz="4" w:space="0"/>
            </w:tcBorders>
            <w:noWrap w:val="0"/>
            <w:vAlign w:val="center"/>
          </w:tcPr>
          <w:p>
            <w:pPr>
              <w:spacing w:line="210" w:lineRule="exact"/>
              <w:jc w:val="center"/>
              <w:rPr>
                <w:rFonts w:hint="eastAsia" w:ascii="方正仿宋_GB2312" w:hAnsi="方正仿宋_GB2312" w:eastAsia="方正仿宋_GB2312" w:cs="方正仿宋_GB2312"/>
                <w:b/>
                <w:bCs/>
                <w:i w:val="0"/>
                <w:iCs w:val="0"/>
                <w:color w:val="auto"/>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3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评价结论</w:t>
            </w:r>
          </w:p>
        </w:tc>
        <w:tc>
          <w:tcPr>
            <w:tcW w:w="4650"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本项目自评总分为96分。实施成效方面：核心业务指标表现扎实，核医学年均业务量、诊断质量与服务满意度达标，检查诊断随访率、符合率及住院患者满意度均达到或超过预期值，筑牢了诊疗质量根基。尽管部分产出指标尚在筹备阶段，但核心业务与质量维度已实现阶段性突破，为项目后续推进积累了坚实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trPr>
        <w:tc>
          <w:tcPr>
            <w:tcW w:w="3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存在问题</w:t>
            </w:r>
          </w:p>
        </w:tc>
        <w:tc>
          <w:tcPr>
            <w:tcW w:w="4650"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原因在于：亚专科项目建设周期为3年，目前建设尚处于筹备期，需完成前期规划与资源整合，暂未实质推进；新技术开展及人员外派进修均计划于 2026 年实施，当前阶段优先保障核心业务运转，前瞻性任务启动节奏偏缓，导致相关指标未达预期，后续需加快筹备进度以匹配项目整体目标。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6" w:hRule="atLeast"/>
        </w:trPr>
        <w:tc>
          <w:tcPr>
            <w:tcW w:w="3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改进措施</w:t>
            </w:r>
          </w:p>
        </w:tc>
        <w:tc>
          <w:tcPr>
            <w:tcW w:w="4650" w:type="pct"/>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left"/>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改进意见：加快亚专科建设筹备，明确阶段任务与责任分工，力争2026年完成前期布局；提前梳理新技术适配场景，同步锁定进修人员并制定培训计划，确保 2026 年按时启动。</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br w:type="textWrapping"/>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政策性建议：申请专项经费或院方支持亚专科建设与新技术引进，争取院方在人才培养、设备配置上的政策倾斜；建立外派进修激励机制，提升科室人员参与积极性。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2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bCs/>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项目负责人：</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杨兴</w:t>
            </w:r>
          </w:p>
        </w:tc>
        <w:tc>
          <w:tcPr>
            <w:tcW w:w="2272"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10" w:lineRule="exact"/>
              <w:jc w:val="center"/>
              <w:textAlignment w:val="auto"/>
              <w:rPr>
                <w:rFonts w:hint="eastAsia" w:ascii="方正仿宋_GB2312" w:hAnsi="方正仿宋_GB2312" w:eastAsia="方正仿宋_GB2312" w:cs="方正仿宋_GB2312"/>
                <w:b w:val="0"/>
                <w:bCs w:val="0"/>
                <w:i w:val="0"/>
                <w:iCs w:val="0"/>
                <w:color w:val="auto"/>
                <w:sz w:val="21"/>
                <w:szCs w:val="21"/>
                <w:highlight w:val="none"/>
                <w:u w:val="none"/>
                <w:lang w:bidi="ar"/>
              </w:rPr>
            </w:pPr>
            <w:r>
              <w:rPr>
                <w:rFonts w:hint="eastAsia" w:ascii="方正仿宋_GB2312" w:hAnsi="方正仿宋_GB2312" w:eastAsia="方正仿宋_GB2312" w:cs="方正仿宋_GB2312"/>
                <w:b/>
                <w:bCs/>
                <w:i w:val="0"/>
                <w:iCs w:val="0"/>
                <w:snapToGrid w:val="0"/>
                <w:color w:val="auto"/>
                <w:kern w:val="0"/>
                <w:sz w:val="21"/>
                <w:szCs w:val="21"/>
                <w:highlight w:val="none"/>
                <w:u w:val="none"/>
                <w:lang w:val="en-US" w:eastAsia="zh-CN" w:bidi="ar"/>
              </w:rPr>
              <w:t>财务负责人：</w:t>
            </w:r>
            <w:r>
              <w:rPr>
                <w:rFonts w:hint="eastAsia" w:ascii="方正仿宋_GB2312" w:hAnsi="方正仿宋_GB2312" w:eastAsia="方正仿宋_GB2312" w:cs="方正仿宋_GB2312"/>
                <w:b w:val="0"/>
                <w:bCs w:val="0"/>
                <w:i w:val="0"/>
                <w:iCs w:val="0"/>
                <w:snapToGrid w:val="0"/>
                <w:color w:val="auto"/>
                <w:kern w:val="0"/>
                <w:sz w:val="21"/>
                <w:szCs w:val="21"/>
                <w:highlight w:val="none"/>
                <w:u w:val="none"/>
                <w:lang w:val="en-US" w:eastAsia="zh-CN" w:bidi="ar"/>
              </w:rPr>
              <w:t>王慧慧</w:t>
            </w: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2"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49"/>
      <w:bookmarkEnd w:id="52"/>
      <w:bookmarkStart w:id="53"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3"/>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0"/>
      <w:r>
        <w:rPr>
          <w:rFonts w:hint="eastAsia" w:ascii="Times New Roman" w:hAnsi="Times New Roman" w:eastAsia="仿宋_GB2312" w:cs="仿宋_GB2312"/>
          <w:color w:val="auto"/>
          <w:sz w:val="32"/>
          <w:szCs w:val="32"/>
          <w:highlight w:val="none"/>
        </w:rPr>
        <w:t>二、收入决算表</w:t>
      </w:r>
      <w:bookmarkEnd w:id="5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1"/>
      <w:r>
        <w:rPr>
          <w:rFonts w:hint="eastAsia" w:ascii="Times New Roman" w:hAnsi="Times New Roman" w:eastAsia="仿宋_GB2312" w:cs="仿宋_GB2312"/>
          <w:color w:val="auto"/>
          <w:sz w:val="32"/>
          <w:szCs w:val="32"/>
          <w:highlight w:val="none"/>
        </w:rPr>
        <w:t>三、支出决算表</w:t>
      </w:r>
      <w:bookmarkEnd w:id="5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2"/>
      <w:r>
        <w:rPr>
          <w:rFonts w:hint="eastAsia" w:ascii="Times New Roman" w:hAnsi="Times New Roman" w:eastAsia="仿宋_GB2312" w:cs="仿宋_GB2312"/>
          <w:color w:val="auto"/>
          <w:sz w:val="32"/>
          <w:szCs w:val="32"/>
          <w:highlight w:val="none"/>
        </w:rPr>
        <w:t>四、财政拨款收入支出决算总表</w:t>
      </w:r>
      <w:bookmarkEnd w:id="5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3"/>
      <w:r>
        <w:rPr>
          <w:rFonts w:hint="eastAsia" w:ascii="Times New Roman" w:hAnsi="Times New Roman" w:eastAsia="仿宋_GB2312" w:cs="仿宋_GB2312"/>
          <w:color w:val="auto"/>
          <w:sz w:val="32"/>
          <w:szCs w:val="32"/>
          <w:highlight w:val="none"/>
        </w:rPr>
        <w:t>五、财政拨款支出决算明细表</w:t>
      </w:r>
      <w:bookmarkEnd w:id="57"/>
      <w:bookmarkStart w:id="58"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5"/>
      <w:r>
        <w:rPr>
          <w:rFonts w:hint="eastAsia" w:ascii="Times New Roman" w:hAnsi="Times New Roman" w:eastAsia="仿宋_GB2312" w:cs="仿宋_GB2312"/>
          <w:color w:val="auto"/>
          <w:sz w:val="32"/>
          <w:szCs w:val="32"/>
          <w:highlight w:val="none"/>
        </w:rPr>
        <w:t>七、一般公共预算财政拨款支出决算明细表</w:t>
      </w:r>
      <w:bookmarkEnd w:id="5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6"/>
      <w:r>
        <w:rPr>
          <w:rFonts w:hint="eastAsia" w:ascii="Times New Roman" w:hAnsi="Times New Roman" w:eastAsia="仿宋_GB2312" w:cs="仿宋_GB2312"/>
          <w:color w:val="auto"/>
          <w:sz w:val="32"/>
          <w:szCs w:val="32"/>
          <w:highlight w:val="none"/>
        </w:rPr>
        <w:t>八、一般公共预算财政拨款基本支出决算表</w:t>
      </w:r>
      <w:bookmarkEnd w:id="6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7"/>
      <w:r>
        <w:rPr>
          <w:rFonts w:hint="eastAsia" w:ascii="Times New Roman" w:hAnsi="Times New Roman" w:eastAsia="仿宋_GB2312" w:cs="仿宋_GB2312"/>
          <w:color w:val="auto"/>
          <w:sz w:val="32"/>
          <w:szCs w:val="32"/>
          <w:highlight w:val="none"/>
        </w:rPr>
        <w:t>九、一般公共预算财政拨款项目支出决算表</w:t>
      </w:r>
      <w:bookmarkEnd w:id="6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8"/>
      <w:r>
        <w:rPr>
          <w:rFonts w:hint="eastAsia" w:ascii="Times New Roman" w:hAnsi="Times New Roman" w:eastAsia="仿宋_GB2312" w:cs="仿宋_GB2312"/>
          <w:color w:val="auto"/>
          <w:sz w:val="32"/>
          <w:szCs w:val="32"/>
          <w:highlight w:val="none"/>
        </w:rPr>
        <w:t>十、</w:t>
      </w:r>
      <w:bookmarkEnd w:id="62"/>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9"/>
      <w:r>
        <w:rPr>
          <w:rFonts w:hint="eastAsia" w:ascii="Times New Roman" w:hAnsi="Times New Roman" w:eastAsia="仿宋_GB2312" w:cs="仿宋_GB2312"/>
          <w:color w:val="auto"/>
          <w:sz w:val="32"/>
          <w:szCs w:val="32"/>
          <w:highlight w:val="none"/>
        </w:rPr>
        <w:t>十一、</w:t>
      </w:r>
      <w:bookmarkEnd w:id="63"/>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30"/>
      <w:r>
        <w:rPr>
          <w:rFonts w:hint="eastAsia" w:ascii="Times New Roman" w:hAnsi="Times New Roman" w:eastAsia="仿宋_GB2312" w:cs="仿宋_GB2312"/>
          <w:color w:val="auto"/>
          <w:sz w:val="32"/>
          <w:szCs w:val="32"/>
          <w:highlight w:val="none"/>
        </w:rPr>
        <w:t>十二、</w:t>
      </w:r>
      <w:bookmarkEnd w:id="64"/>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5" w:name="_Toc15396631"/>
      <w:r>
        <w:rPr>
          <w:rFonts w:hint="eastAsia" w:ascii="Times New Roman" w:hAnsi="Times New Roman" w:eastAsia="仿宋_GB2312" w:cs="仿宋_GB2312"/>
          <w:color w:val="auto"/>
          <w:sz w:val="32"/>
          <w:szCs w:val="32"/>
          <w:highlight w:val="none"/>
        </w:rPr>
        <w:t>十三、</w:t>
      </w:r>
      <w:bookmarkEnd w:id="65"/>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 w:name="Calibri">
    <w:altName w:val="DejaVu Sans"/>
    <w:panose1 w:val="00000000000000000000"/>
    <w:charset w:val="86"/>
    <w:family w:val="auto"/>
    <w:pitch w:val="default"/>
    <w:sig w:usb0="00000000" w:usb1="00000000" w:usb2="00000000" w:usb3="00000000" w:csb0="00000000" w:csb1="00000000"/>
  </w:font>
  <w:font w:name="CESI仿宋-GB2312">
    <w:panose1 w:val="02000500000000000000"/>
    <w:charset w:val="86"/>
    <w:family w:val="auto"/>
    <w:pitch w:val="default"/>
    <w:sig w:usb0="800002AF" w:usb1="084F6CF8" w:usb2="00000010" w:usb3="00000000" w:csb0="0004000F" w:csb1="00000000"/>
  </w:font>
  <w:font w:name="simhei">
    <w:altName w:val="Noto Sans CJK HK"/>
    <w:panose1 w:val="00000000000000000000"/>
    <w:charset w:val="00"/>
    <w:family w:val="auto"/>
    <w:pitch w:val="default"/>
    <w:sig w:usb0="00000000" w:usb1="00000000" w:usb2="00000000" w:usb3="00000000" w:csb0="00040001"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方正仿宋_GB2312">
    <w:altName w:val="方正仿宋_GBK"/>
    <w:panose1 w:val="02000000000000000000"/>
    <w:charset w:val="00"/>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Noto Sans CJK HK">
    <w:panose1 w:val="020B0600000000000000"/>
    <w:charset w:val="88"/>
    <w:family w:val="auto"/>
    <w:pitch w:val="default"/>
    <w:sig w:usb0="30000083" w:usb1="2BDF3C10" w:usb2="00000016" w:usb3="00000000" w:csb0="603A0107"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2A501"/>
    <w:multiLevelType w:val="singleLevel"/>
    <w:tmpl w:val="BBF2A50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2FEA3E76"/>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DF69B7"/>
    <w:rsid w:val="3FF4CAE0"/>
    <w:rsid w:val="3FF7B227"/>
    <w:rsid w:val="40E54C45"/>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4FFFEF26"/>
    <w:rsid w:val="53083A92"/>
    <w:rsid w:val="537E6D0A"/>
    <w:rsid w:val="53AF27A2"/>
    <w:rsid w:val="53F74C96"/>
    <w:rsid w:val="56E47B74"/>
    <w:rsid w:val="57BD3DD4"/>
    <w:rsid w:val="5AF92295"/>
    <w:rsid w:val="5BDD79E6"/>
    <w:rsid w:val="5BF561CA"/>
    <w:rsid w:val="5BFF5DFC"/>
    <w:rsid w:val="5CD71FC4"/>
    <w:rsid w:val="5D1F11B5"/>
    <w:rsid w:val="5D724C77"/>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CBCE43"/>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7FFF2BEB"/>
    <w:rsid w:val="99FF2014"/>
    <w:rsid w:val="A6DD0D7F"/>
    <w:rsid w:val="ADC6F725"/>
    <w:rsid w:val="B7CF06AB"/>
    <w:rsid w:val="B7CFA926"/>
    <w:rsid w:val="B7F8786B"/>
    <w:rsid w:val="BABB6AA1"/>
    <w:rsid w:val="BB2F4199"/>
    <w:rsid w:val="BD079C78"/>
    <w:rsid w:val="BD733540"/>
    <w:rsid w:val="BF3735D5"/>
    <w:rsid w:val="BF7F09AC"/>
    <w:rsid w:val="BFD475C3"/>
    <w:rsid w:val="BFDE5EA6"/>
    <w:rsid w:val="CF5E7047"/>
    <w:rsid w:val="CF6FC6F3"/>
    <w:rsid w:val="CFD3D3D7"/>
    <w:rsid w:val="CFDF1009"/>
    <w:rsid w:val="D7D7B16A"/>
    <w:rsid w:val="D8D6DB89"/>
    <w:rsid w:val="DB6F4CAB"/>
    <w:rsid w:val="DB777682"/>
    <w:rsid w:val="DD1FB521"/>
    <w:rsid w:val="DEFBFEAE"/>
    <w:rsid w:val="DF1F3B80"/>
    <w:rsid w:val="DF6F9789"/>
    <w:rsid w:val="DFFFA9E8"/>
    <w:rsid w:val="E5F4E9DC"/>
    <w:rsid w:val="E70FE695"/>
    <w:rsid w:val="E7DD2A33"/>
    <w:rsid w:val="EB7F4ABD"/>
    <w:rsid w:val="ECFED1BC"/>
    <w:rsid w:val="ED1D69BB"/>
    <w:rsid w:val="ED7FD312"/>
    <w:rsid w:val="EF53993F"/>
    <w:rsid w:val="EF6FD633"/>
    <w:rsid w:val="EFBFB2F4"/>
    <w:rsid w:val="EFBFFA21"/>
    <w:rsid w:val="F2BEBCB8"/>
    <w:rsid w:val="F36FB518"/>
    <w:rsid w:val="F3DE1A04"/>
    <w:rsid w:val="F3F722E5"/>
    <w:rsid w:val="F7A3AABF"/>
    <w:rsid w:val="F7F34F84"/>
    <w:rsid w:val="FA5F1E70"/>
    <w:rsid w:val="FA5FDB97"/>
    <w:rsid w:val="FB7F486A"/>
    <w:rsid w:val="FBFF5B2E"/>
    <w:rsid w:val="FD7FFE2B"/>
    <w:rsid w:val="FDD7B8D9"/>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7"/>
    <w:link w:val="10"/>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5">
    <w:name w:val="font61"/>
    <w:basedOn w:val="17"/>
    <w:qFormat/>
    <w:uiPriority w:val="0"/>
    <w:rPr>
      <w:rFonts w:hint="default" w:ascii="simhei" w:hAnsi="simhei" w:eastAsia="simhei" w:cs="simhei"/>
      <w:color w:val="000000"/>
      <w:sz w:val="18"/>
      <w:szCs w:val="18"/>
      <w:u w:val="none"/>
    </w:rPr>
  </w:style>
  <w:style w:type="character" w:customStyle="1" w:styleId="36">
    <w:name w:val="font101"/>
    <w:basedOn w:val="1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home/user/&#26700;&#38754;/&#37096;&#38376;&#20915;&#31639;/2025&#24180;&#37096;&#38376;&#20915;&#31639;/&#22270;&#34920;-202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ome/user/&#26700;&#38754;/&#37096;&#38376;&#20915;&#31639;/2025&#24180;&#37096;&#38376;&#20915;&#31639;/&#22270;&#34920;-202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ome/user/&#26700;&#38754;/&#37096;&#38376;&#20915;&#31639;/2025&#24180;&#37096;&#38376;&#20915;&#31639;/&#22270;&#34920;-202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ome/user/&#26700;&#38754;/&#37096;&#38376;&#20915;&#31639;/2025&#24180;&#37096;&#38376;&#20915;&#31639;/&#22270;&#34920;-202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ome/user/&#26700;&#38754;/&#37096;&#38376;&#20915;&#31639;/2025&#24180;&#37096;&#38376;&#20915;&#31639;/&#22270;&#34920;-2025.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26700;&#38754;/&#37096;&#38376;&#20915;&#31639;/2025&#24180;&#37096;&#38376;&#20915;&#31639;/&#22270;&#34920;-202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ome/user/&#26700;&#38754;/&#37096;&#38376;&#20915;&#31639;/2025&#24180;&#37096;&#38376;&#20915;&#31639;/&#22270;&#34920;-202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rgbClr val="595959">
                    <a:lumMod val="65000"/>
                    <a:lumOff val="35000"/>
                  </a:srgbClr>
                </a:solidFill>
                <a:latin typeface="黑体" panose="02010609060101010101" charset="-122"/>
                <a:ea typeface="黑体" panose="02010609060101010101" charset="-122"/>
                <a:cs typeface="黑体" panose="02010609060101010101" charset="-122"/>
                <a:sym typeface="黑体" panose="02010609060101010101" charset="-122"/>
              </a:defRPr>
            </a:pPr>
            <a:r>
              <a:rPr sz="1400">
                <a:latin typeface="黑体" panose="02010609060101010101" charset="-122"/>
                <a:ea typeface="黑体" panose="02010609060101010101" charset="-122"/>
                <a:cs typeface="黑体" panose="02010609060101010101" charset="-122"/>
                <a:sym typeface="黑体" panose="02010609060101010101" charset="-122"/>
              </a:rPr>
              <a:t>收、支年终决算上下年度对比表</a:t>
            </a:r>
            <a:endParaRPr sz="1400" b="0" i="0" u="none" strike="noStrike" baseline="0">
              <a:solidFill>
                <a:srgbClr val="595959">
                  <a:alpha val="100000"/>
                </a:srgbClr>
              </a:solidFill>
              <a:latin typeface="黑体" panose="02010609060101010101" charset="-122"/>
              <a:ea typeface="黑体" panose="02010609060101010101" charset="-122"/>
              <a:cs typeface="黑体" panose="02010609060101010101" charset="-122"/>
              <a:sym typeface="黑体" panose="02010609060101010101" charset="-122"/>
            </a:endParaRPr>
          </a:p>
        </c:rich>
      </c:tx>
      <c:layout>
        <c:manualLayout>
          <c:xMode val="edge"/>
          <c:yMode val="edge"/>
          <c:x val="0.18167185948783"/>
          <c:y val="0.0442532046665707"/>
        </c:manualLayout>
      </c:layout>
      <c:overlay val="false"/>
      <c:spPr>
        <a:noFill/>
        <a:ln>
          <a:noFill/>
        </a:ln>
        <a:effectLst/>
      </c:spPr>
    </c:title>
    <c:autoTitleDeleted val="false"/>
    <c:plotArea>
      <c:layout>
        <c:manualLayout>
          <c:layoutTarget val="inner"/>
          <c:xMode val="edge"/>
          <c:yMode val="edge"/>
          <c:x val="0.26428216592151"/>
          <c:y val="0.271750524109015"/>
          <c:w val="0.619804603411161"/>
          <c:h val="0.503930817610063"/>
        </c:manualLayout>
      </c:layout>
      <c:barChart>
        <c:barDir val="col"/>
        <c:grouping val="clustered"/>
        <c:varyColors val="false"/>
        <c:ser>
          <c:idx val="0"/>
          <c:order val="0"/>
          <c:tx>
            <c:strRef>
              <c:f>'[图表-2025.xls]Sheet1'!$A$124</c:f>
              <c:strCache>
                <c:ptCount val="1"/>
                <c:pt idx="0">
                  <c:v>年终执行数</c:v>
                </c:pt>
              </c:strCache>
            </c:strRef>
          </c:tx>
          <c:spPr>
            <a:solidFill>
              <a:srgbClr val="4F81BD"/>
            </a:solidFill>
            <a:ln>
              <a:no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800" b="0" i="0" u="none" strike="noStrike" kern="1200" baseline="0">
                    <a:solidFill>
                      <a:srgbClr val="404040">
                        <a:lumMod val="75000"/>
                        <a:lumOff val="25000"/>
                      </a:srgb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'[图表-2025.xls]Sheet1'!$B$123:$C$123</c:f>
              <c:strCache>
                <c:ptCount val="2"/>
                <c:pt idx="0">
                  <c:v>2024年</c:v>
                </c:pt>
                <c:pt idx="1">
                  <c:v>2025年</c:v>
                </c:pt>
              </c:strCache>
            </c:strRef>
          </c:cat>
          <c:val>
            <c:numRef>
              <c:f>'[图表-2025.xls]Sheet1'!$B$124:$C$124</c:f>
              <c:numCache>
                <c:formatCode>0.00_ </c:formatCode>
                <c:ptCount val="2"/>
                <c:pt idx="0">
                  <c:v>1531.62</c:v>
                </c:pt>
                <c:pt idx="1">
                  <c:v>1533.26</c:v>
                </c:pt>
              </c:numCache>
            </c:numRef>
          </c:val>
        </c:ser>
        <c:dLbls>
          <c:showLegendKey val="false"/>
          <c:showVal val="false"/>
          <c:showCatName val="false"/>
          <c:showSerName val="false"/>
          <c:showPercent val="false"/>
          <c:showBubbleSize val="false"/>
        </c:dLbls>
        <c:gapWidth val="219"/>
        <c:overlap val="-27"/>
        <c:axId val="471649032"/>
        <c:axId val="484802675"/>
      </c:barChart>
      <c:catAx>
        <c:axId val="471649032"/>
        <c:scaling>
          <c:orientation val="minMax"/>
        </c:scaling>
        <c:delete val="false"/>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484802675"/>
        <c:crosses val="autoZero"/>
        <c:auto val="true"/>
        <c:lblAlgn val="ctr"/>
        <c:lblOffset val="100"/>
        <c:noMultiLvlLbl val="false"/>
      </c:catAx>
      <c:valAx>
        <c:axId val="484802675"/>
        <c:scaling>
          <c:orientation val="minMax"/>
        </c:scaling>
        <c:delete val="false"/>
        <c:axPos val="l"/>
        <c:majorGridlines>
          <c:spPr>
            <a:ln w="9525" cap="flat" cmpd="sng" algn="ctr">
              <a:solidFill>
                <a:srgbClr val="D9D9D9">
                  <a:lumMod val="15000"/>
                  <a:lumOff val="85000"/>
                </a:srgbClr>
              </a:solidFill>
              <a:prstDash val="solid"/>
              <a:round/>
            </a:ln>
            <a:effectLst/>
          </c:spPr>
        </c:majorGridlines>
        <c:numFmt formatCode="0.00_ "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471649032"/>
        <c:crosses val="autoZero"/>
        <c:crossBetween val="between"/>
      </c:valAx>
      <c:dTable>
        <c:showHorzBorder val="true"/>
        <c:showVertBorder val="true"/>
        <c:showOutline val="true"/>
        <c:showKeys val="true"/>
        <c:txPr>
          <a:bodyPr rot="0" spcFirstLastPara="0" vertOverflow="ellipsis" vert="horz" wrap="square" anchor="ctr" anchorCtr="true"/>
          <a:lstStyle/>
          <a:p>
            <a:pPr>
              <a:defRPr lang="zh-CN" sz="1000" b="0" i="0" u="none" strike="noStrike" kern="1200" baseline="0">
                <a:solidFill>
                  <a:srgbClr val="000000"/>
                </a:solidFill>
                <a:latin typeface="+mn-lt"/>
                <a:ea typeface="+mn-ea"/>
                <a:cs typeface="+mn-cs"/>
              </a:defRPr>
            </a:pPr>
          </a:p>
        </c:txPr>
      </c:dTable>
      <c:spPr>
        <a:noFill/>
        <a:ln>
          <a:noFill/>
        </a:ln>
        <a:effectLst/>
      </c:spPr>
    </c:plotArea>
    <c:plotVisOnly val="true"/>
    <c:dispBlanksAs val="gap"/>
    <c:showDLblsOverMax val="false"/>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rgbClr val="595959">
                    <a:lumMod val="65000"/>
                    <a:lumOff val="35000"/>
                  </a:srgbClr>
                </a:solidFill>
                <a:latin typeface="+mn-lt"/>
                <a:ea typeface="+mn-ea"/>
                <a:cs typeface="+mn-cs"/>
              </a:defRPr>
            </a:pPr>
            <a:r>
              <a:rPr sz="14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图2：收入决算结构图</a:t>
            </a:r>
            <a:endParaRPr sz="1100" b="0" i="0" u="none" strike="noStrike" baseline="0">
              <a:solidFill>
                <a:srgbClr val="000000"/>
              </a:solidFill>
              <a:latin typeface="宋体" charset="-122"/>
              <a:ea typeface="宋体" charset="-122"/>
              <a:cs typeface="宋体" charset="-122"/>
            </a:endParaRPr>
          </a:p>
        </c:rich>
      </c:tx>
      <c:layout/>
      <c:overlay val="false"/>
    </c:title>
    <c:autoTitleDeleted val="false"/>
    <c:plotArea>
      <c:layout>
        <c:manualLayout>
          <c:layoutTarget val="inner"/>
          <c:xMode val="edge"/>
          <c:yMode val="edge"/>
          <c:x val="0.217021276595745"/>
          <c:y val="0.169354838709677"/>
          <c:w val="0.561702127659575"/>
          <c:h val="0.733870967741935"/>
        </c:manualLayout>
      </c:layout>
      <c:pieChart>
        <c:varyColors val="true"/>
        <c:ser>
          <c:idx val="0"/>
          <c:order val="0"/>
          <c:tx>
            <c:strRef>
              <c:f>'[图表-2025.xls]Sheet1'!$M$92</c:f>
              <c:strCache>
                <c:ptCount val="1"/>
                <c:pt idx="0">
                  <c:v>金额</c:v>
                </c:pt>
              </c:strCache>
            </c:strRef>
          </c:tx>
          <c:explosion val="0"/>
          <c:dPt>
            <c:idx val="0"/>
            <c:bubble3D val="false"/>
            <c:explosion val="0"/>
            <c:spPr>
              <a:solidFill>
                <a:srgbClr val="4F81BD">
                  <a:alpha val="100000"/>
                </a:srgbClr>
              </a:solidFill>
              <a:ln w="19050">
                <a:solidFill>
                  <a:srgbClr val="FFFFFF">
                    <a:alpha val="100000"/>
                  </a:srgbClr>
                </a:solidFill>
                <a:prstDash val="solid"/>
              </a:ln>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mn-lt"/>
                    <a:ea typeface="+mn-ea"/>
                    <a:cs typeface="+mn-cs"/>
                  </a:defRPr>
                </a:pPr>
              </a:p>
            </c:txPr>
            <c:dLblPos val="inEnd"/>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rgbClr val="000000">
                          <a:alpha val="100000"/>
                        </a:srgbClr>
                      </a:solidFill>
                      <a:prstDash val="solid"/>
                      <a:round/>
                    </a:ln>
                  </c:spPr>
                </c15:leaderLines>
              </c:ext>
            </c:extLst>
          </c:dLbls>
          <c:cat>
            <c:strRef>
              <c:f>'[图表-2025.xls]Sheet1'!$N$91</c:f>
              <c:strCache>
                <c:ptCount val="1"/>
                <c:pt idx="0">
                  <c:v>一般公共预算财政拨款收入</c:v>
                </c:pt>
              </c:strCache>
            </c:strRef>
          </c:cat>
          <c:val>
            <c:numRef>
              <c:f>'[图表-2025.xls]Sheet1'!$N$92</c:f>
              <c:numCache>
                <c:formatCode>#,##0.00</c:formatCode>
                <c:ptCount val="1"/>
                <c:pt idx="0">
                  <c:v>1533.26</c:v>
                </c:pt>
              </c:numCache>
            </c:numRef>
          </c:val>
        </c:ser>
        <c:dLbls>
          <c:showLegendKey val="false"/>
          <c:showVal val="false"/>
          <c:showCatName val="false"/>
          <c:showSerName val="false"/>
          <c:showPercent val="false"/>
          <c:showBubbleSize val="false"/>
          <c:showLeaderLines val="true"/>
        </c:dLbls>
        <c:firstSliceAng val="70"/>
      </c:pieChart>
      <c:spPr>
        <a:noFill/>
        <a:ln w="3175">
          <a:noFill/>
        </a:ln>
      </c:spPr>
    </c:plotArea>
    <c:legend>
      <c:legendPos val="r"/>
      <c:layout/>
      <c:overlay val="false"/>
      <c:txPr>
        <a:bodyPr rot="0" spcFirstLastPara="0" vertOverflow="ellipsis" vert="horz" wrap="square" anchor="ctr" anchorCtr="true"/>
        <a:lstStyle/>
        <a:p>
          <a:pPr>
            <a:defRPr lang="zh-CN" sz="1000" b="0" i="0" u="none" strike="noStrike" kern="1200" baseline="0">
              <a:solidFill>
                <a:srgbClr val="000000"/>
              </a:solidFill>
              <a:latin typeface="+mn-lt"/>
              <a:ea typeface="+mn-ea"/>
              <a:cs typeface="+mn-cs"/>
            </a:defRPr>
          </a:pPr>
        </a:p>
      </c:txPr>
    </c:legend>
    <c:plotVisOnly val="true"/>
    <c:dispBlanksAs val="zero"/>
    <c:showDLblsOverMax val="false"/>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rgbClr val="595959">
                    <a:lumMod val="65000"/>
                    <a:lumOff val="35000"/>
                  </a:srgbClr>
                </a:solidFill>
                <a:latin typeface="+mn-lt"/>
                <a:ea typeface="+mn-ea"/>
                <a:cs typeface="+mn-cs"/>
              </a:defRPr>
            </a:pPr>
            <a:r>
              <a:t>支出决算构成表</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pieChart>
        <c:varyColors val="true"/>
        <c:ser>
          <c:idx val="0"/>
          <c:order val="0"/>
          <c:tx>
            <c:strRef>
              <c:f>'[图表-2025.xls]Sheet1'!$A$31</c:f>
              <c:strCache>
                <c:ptCount val="1"/>
                <c:pt idx="0">
                  <c:v>金额</c:v>
                </c:pt>
              </c:strCache>
            </c:strRef>
          </c:tx>
          <c:explosion val="0"/>
          <c:dPt>
            <c:idx val="0"/>
            <c:bubble3D val="false"/>
            <c:explosion val="0"/>
            <c:spPr>
              <a:solidFill>
                <a:srgbClr val="4F81BD"/>
              </a:solidFill>
              <a:ln w="19050">
                <a:solidFill>
                  <a:srgbClr val="FFFFFF"/>
                </a:solidFill>
              </a:ln>
              <a:effectLst/>
            </c:spPr>
          </c:dPt>
          <c:dPt>
            <c:idx val="1"/>
            <c:bubble3D val="false"/>
            <c:explosion val="0"/>
            <c:spPr>
              <a:solidFill>
                <a:srgbClr val="C0504D"/>
              </a:solidFill>
              <a:ln w="19050">
                <a:solidFill>
                  <a:srgbClr val="FFFFFF"/>
                </a:solidFill>
              </a:ln>
              <a:effectLst/>
            </c:spPr>
          </c:dPt>
          <c:dPt>
            <c:idx val="2"/>
            <c:bubble3D val="false"/>
            <c:explosion val="0"/>
            <c:spPr>
              <a:solidFill>
                <a:srgbClr val="9BBB59"/>
              </a:solidFill>
              <a:ln w="19050">
                <a:solidFill>
                  <a:srgbClr val="FFFFFF"/>
                </a:solidFill>
              </a:ln>
              <a:effectLst/>
            </c:spPr>
          </c:dPt>
          <c:dPt>
            <c:idx val="3"/>
            <c:bubble3D val="false"/>
            <c:explosion val="0"/>
            <c:spPr>
              <a:solidFill>
                <a:srgbClr val="8064A2"/>
              </a:solidFill>
              <a:ln w="19050">
                <a:solidFill>
                  <a:srgbClr val="FFFFFF"/>
                </a:solidFill>
              </a:ln>
              <a:effectLst/>
            </c:spPr>
          </c:dPt>
          <c:dPt>
            <c:idx val="4"/>
            <c:bubble3D val="false"/>
            <c:explosion val="0"/>
            <c:spPr>
              <a:solidFill>
                <a:srgbClr val="4BACC6"/>
              </a:solidFill>
              <a:ln w="19050">
                <a:solidFill>
                  <a:srgbClr val="FFFFFF"/>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969696">
                          <a:alpha val="100000"/>
                        </a:srgbClr>
                      </a:solidFill>
                      <a:prstDash val="solid"/>
                      <a:round/>
                    </a:ln>
                  </c:spPr>
                </c15:leaderLines>
              </c:ext>
            </c:extLst>
          </c:dLbls>
          <c:cat>
            <c:strRef>
              <c:f>'[图表-2025.xls]Sheet1'!$B$30:$F$30</c:f>
              <c:strCache>
                <c:ptCount val="5"/>
                <c:pt idx="0">
                  <c:v>基本支出</c:v>
                </c:pt>
                <c:pt idx="1">
                  <c:v>项目支出</c:v>
                </c:pt>
                <c:pt idx="2">
                  <c:v>上缴上级支出</c:v>
                </c:pt>
                <c:pt idx="3">
                  <c:v>经营支出</c:v>
                </c:pt>
                <c:pt idx="4">
                  <c:v>对附属单位补助支出</c:v>
                </c:pt>
              </c:strCache>
            </c:strRef>
          </c:cat>
          <c:val>
            <c:numRef>
              <c:f>'[图表-2025.xls]Sheet1'!$B$31:$F$31</c:f>
              <c:numCache>
                <c:formatCode>#,##0.00</c:formatCode>
                <c:ptCount val="5"/>
                <c:pt idx="0">
                  <c:v>0</c:v>
                </c:pt>
                <c:pt idx="1">
                  <c:v>1533.26</c:v>
                </c:pt>
                <c:pt idx="2">
                  <c:v>0</c:v>
                </c:pt>
                <c:pt idx="3">
                  <c:v>0</c:v>
                </c:pt>
                <c:pt idx="4">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'[图表-2025.xls]Sheet1'!$J$73</c:f>
              <c:strCache>
                <c:ptCount val="1"/>
                <c:pt idx="0">
                  <c:v>金额（万元）</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200" b="0" i="0" u="none" strike="noStrike" kern="1200" cap="none" spc="0" normalizeH="0" baseline="0">
                    <a:solidFill>
                      <a:schemeClr val="tx1"/>
                    </a:solidFill>
                    <a:uFill>
                      <a:solidFill>
                        <a:schemeClr val="tx1"/>
                      </a:solidFill>
                    </a:u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trendline>
            <c:trendlineType val="linear"/>
            <c:forward val="0"/>
            <c:backward val="0"/>
            <c:dispRSqr val="false"/>
            <c:dispEq val="false"/>
          </c:trendline>
          <c:cat>
            <c:strRef>
              <c:f>'[图表-2025.xls]Sheet1'!$K$72:$L$72</c:f>
              <c:strCache>
                <c:ptCount val="2"/>
                <c:pt idx="0">
                  <c:v>2024年一般公共预算财政拨款收入、支出</c:v>
                </c:pt>
                <c:pt idx="1">
                  <c:v>2025年一般公共预算财政拨款收入、支出</c:v>
                </c:pt>
              </c:strCache>
            </c:strRef>
          </c:cat>
          <c:val>
            <c:numRef>
              <c:f>'[图表-2025.xls]Sheet1'!$K$73:$L$73</c:f>
              <c:numCache>
                <c:formatCode>General</c:formatCode>
                <c:ptCount val="2"/>
                <c:pt idx="0">
                  <c:v>1531.62</c:v>
                </c:pt>
                <c:pt idx="1">
                  <c:v>1533.26</c:v>
                </c:pt>
              </c:numCache>
            </c:numRef>
          </c:val>
        </c:ser>
        <c:dLbls>
          <c:showLegendKey val="false"/>
          <c:showVal val="false"/>
          <c:showCatName val="false"/>
          <c:showSerName val="false"/>
          <c:showPercent val="false"/>
          <c:showBubbleSize val="false"/>
        </c:dLbls>
        <c:gapWidth val="150"/>
        <c:overlap val="0"/>
        <c:axId val="936394059"/>
        <c:axId val="689901550"/>
      </c:barChart>
      <c:catAx>
        <c:axId val="936394059"/>
        <c:scaling>
          <c:orientation val="minMax"/>
        </c:scaling>
        <c:delete val="false"/>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1200" b="0" i="0" u="none" strike="noStrike" kern="1200" cap="none" spc="0" normalizeH="0" baseline="0">
                <a:solidFill>
                  <a:schemeClr val="tx1"/>
                </a:solidFill>
                <a:uFill>
                  <a:solidFill>
                    <a:schemeClr val="tx1"/>
                  </a:solidFill>
                </a:uFill>
                <a:latin typeface="+mn-lt"/>
                <a:ea typeface="+mn-ea"/>
                <a:cs typeface="+mn-cs"/>
              </a:defRPr>
            </a:pPr>
          </a:p>
        </c:txPr>
        <c:crossAx val="689901550"/>
        <c:crosses val="autoZero"/>
        <c:auto val="true"/>
        <c:lblAlgn val="ctr"/>
        <c:lblOffset val="100"/>
        <c:noMultiLvlLbl val="false"/>
      </c:catAx>
      <c:valAx>
        <c:axId val="689901550"/>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out"/>
        <c:minorTickMark val="none"/>
        <c:tickLblPos val="nextTo"/>
        <c:spPr>
          <a:ln w="9525" cap="flat" cmpd="sng" algn="ctr">
            <a:noFill/>
            <a:prstDash val="solid"/>
            <a:round/>
          </a:ln>
        </c:spPr>
        <c:txPr>
          <a:bodyPr rot="-60000000" spcFirstLastPara="0" vertOverflow="ellipsis" vert="horz" wrap="square" anchor="ctr" anchorCtr="true"/>
          <a:lstStyle/>
          <a:p>
            <a:pPr>
              <a:defRPr lang="zh-CN" sz="1200" b="0" i="0" u="none" strike="noStrike" kern="1200" cap="none" spc="0" normalizeH="0" baseline="0">
                <a:solidFill>
                  <a:schemeClr val="tx1"/>
                </a:solidFill>
                <a:uFill>
                  <a:solidFill>
                    <a:schemeClr val="tx1"/>
                  </a:solidFill>
                </a:uFill>
                <a:latin typeface="+mn-lt"/>
                <a:ea typeface="+mn-ea"/>
                <a:cs typeface="+mn-cs"/>
              </a:defRPr>
            </a:pPr>
          </a:p>
        </c:txPr>
        <c:crossAx val="936394059"/>
        <c:crosses val="autoZero"/>
        <c:crossBetween val="between"/>
      </c:valAx>
      <c:dTable>
        <c:showHorzBorder val="true"/>
        <c:showVertBorder val="true"/>
        <c:showOutline val="true"/>
        <c:showKeys val="true"/>
        <c:txPr>
          <a:bodyPr rot="0" spcFirstLastPara="0" vertOverflow="ellipsis" vert="horz" wrap="square" anchor="ctr" anchorCtr="true"/>
          <a:lstStyle/>
          <a:p>
            <a:pPr>
              <a:defRPr lang="zh-CN" sz="1200" b="0" i="0" u="none" strike="noStrike" kern="1200" cap="none" spc="0" normalizeH="0" baseline="0">
                <a:solidFill>
                  <a:schemeClr val="tx1"/>
                </a:solidFill>
                <a:uFill>
                  <a:solidFill>
                    <a:schemeClr val="tx1"/>
                  </a:solidFill>
                </a:uFill>
                <a:latin typeface="+mn-lt"/>
                <a:ea typeface="+mn-ea"/>
                <a:cs typeface="+mn-cs"/>
              </a:defRPr>
            </a:pPr>
          </a:p>
        </c:txPr>
      </c:dTable>
      <c:spPr>
        <a:noFill/>
        <a:ln w="12700">
          <a:solidFill>
            <a:srgbClr val="000000">
              <a:alpha val="100000"/>
            </a:srgbClr>
          </a:solidFill>
          <a:prstDash val="solid"/>
        </a:ln>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sz="1200" u="none" strike="noStrike" kern="1200" cap="none" spc="0" normalizeH="0">
          <a:solidFill>
            <a:schemeClr val="tx1"/>
          </a:solidFill>
          <a:uFill>
            <a:solidFill>
              <a:schemeClr val="tx1"/>
            </a:solidFill>
          </a:uFill>
        </a:defRPr>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'[图表-2025.xls]Sheet1'!$J$136</c:f>
              <c:strCache>
                <c:ptCount val="1"/>
                <c:pt idx="0">
                  <c:v>金额（万元）</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200" b="0" i="0" u="none" strike="noStrike" kern="1200" cap="none" spc="0" normalizeH="0" baseline="0">
                    <a:solidFill>
                      <a:srgbClr val="000000"/>
                    </a:solidFill>
                    <a:uFill>
                      <a:solidFill>
                        <a:srgbClr val="000000"/>
                      </a:solidFill>
                    </a:u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trendline>
            <c:trendlineType val="linear"/>
            <c:forward val="0"/>
            <c:backward val="0"/>
            <c:dispRSqr val="false"/>
            <c:dispEq val="false"/>
          </c:trendline>
          <c:cat>
            <c:strRef>
              <c:f>'[图表-2025.xls]Sheet1'!$K$135:$L$135</c:f>
              <c:strCache>
                <c:ptCount val="2"/>
                <c:pt idx="0">
                  <c:v>2024年一般公共预算财政拨款支出</c:v>
                </c:pt>
                <c:pt idx="1">
                  <c:v>2025年一般公共预算财政拨款支出</c:v>
                </c:pt>
              </c:strCache>
            </c:strRef>
          </c:cat>
          <c:val>
            <c:numRef>
              <c:f>'[图表-2025.xls]Sheet1'!$K$136:$L$136</c:f>
              <c:numCache>
                <c:formatCode>General</c:formatCode>
                <c:ptCount val="2"/>
                <c:pt idx="0">
                  <c:v>1531.62</c:v>
                </c:pt>
                <c:pt idx="1">
                  <c:v>1533.26</c:v>
                </c:pt>
              </c:numCache>
            </c:numRef>
          </c:val>
        </c:ser>
        <c:dLbls>
          <c:showLegendKey val="false"/>
          <c:showVal val="false"/>
          <c:showCatName val="false"/>
          <c:showSerName val="false"/>
          <c:showPercent val="false"/>
          <c:showBubbleSize val="false"/>
        </c:dLbls>
        <c:gapWidth val="150"/>
        <c:overlap val="0"/>
        <c:axId val="812715024"/>
        <c:axId val="313986884"/>
      </c:barChart>
      <c:catAx>
        <c:axId val="812715024"/>
        <c:scaling>
          <c:orientation val="minMax"/>
        </c:scaling>
        <c:delete val="false"/>
        <c:axPos val="b"/>
        <c:majorTickMark val="out"/>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true"/>
          <a:lstStyle/>
          <a:p>
            <a:pPr>
              <a:defRPr lang="zh-CN" sz="1200" b="0" i="0" u="none" strike="noStrike" kern="1200" cap="none" spc="0" normalizeH="0" baseline="0">
                <a:solidFill>
                  <a:srgbClr val="000000"/>
                </a:solidFill>
                <a:uFill>
                  <a:solidFill>
                    <a:srgbClr val="000000"/>
                  </a:solidFill>
                </a:uFill>
                <a:latin typeface="+mn-lt"/>
                <a:ea typeface="+mn-ea"/>
                <a:cs typeface="+mn-cs"/>
              </a:defRPr>
            </a:pPr>
          </a:p>
        </c:txPr>
        <c:crossAx val="313986884"/>
        <c:crosses val="autoZero"/>
        <c:auto val="true"/>
        <c:lblAlgn val="ctr"/>
        <c:lblOffset val="100"/>
        <c:noMultiLvlLbl val="false"/>
      </c:catAx>
      <c:valAx>
        <c:axId val="313986884"/>
        <c:scaling>
          <c:orientation val="minMax"/>
        </c:scaling>
        <c:delete val="false"/>
        <c:axPos val="l"/>
        <c:majorGridlines>
          <c:spPr>
            <a:ln w="9525" cap="flat" cmpd="sng" algn="ctr">
              <a:solidFill>
                <a:srgbClr val="D9D9D9">
                  <a:lumMod val="15000"/>
                  <a:lumOff val="85000"/>
                </a:srgbClr>
              </a:solidFill>
              <a:prstDash val="solid"/>
              <a:round/>
            </a:ln>
            <a:effectLst/>
          </c:spPr>
        </c:majorGridlines>
        <c:numFmt formatCode="General" sourceLinked="true"/>
        <c:majorTickMark val="out"/>
        <c:minorTickMark val="none"/>
        <c:tickLblPos val="nextTo"/>
        <c:spPr>
          <a:ln w="9525" cap="flat" cmpd="sng" algn="ctr">
            <a:noFill/>
            <a:prstDash val="solid"/>
            <a:round/>
          </a:ln>
        </c:spPr>
        <c:txPr>
          <a:bodyPr rot="-60000000" spcFirstLastPara="0" vertOverflow="ellipsis" vert="horz" wrap="square" anchor="ctr" anchorCtr="true"/>
          <a:lstStyle/>
          <a:p>
            <a:pPr>
              <a:defRPr lang="zh-CN" sz="1200" b="0" i="0" u="none" strike="noStrike" kern="1200" cap="none" spc="0" normalizeH="0" baseline="0">
                <a:solidFill>
                  <a:srgbClr val="000000"/>
                </a:solidFill>
                <a:uFill>
                  <a:solidFill>
                    <a:srgbClr val="000000"/>
                  </a:solidFill>
                </a:uFill>
                <a:latin typeface="+mn-lt"/>
                <a:ea typeface="+mn-ea"/>
                <a:cs typeface="+mn-cs"/>
              </a:defRPr>
            </a:pPr>
          </a:p>
        </c:txPr>
        <c:crossAx val="812715024"/>
        <c:crosses val="autoZero"/>
        <c:crossBetween val="between"/>
      </c:valAx>
      <c:dTable>
        <c:showHorzBorder val="true"/>
        <c:showVertBorder val="true"/>
        <c:showOutline val="true"/>
        <c:showKeys val="true"/>
        <c:txPr>
          <a:bodyPr rot="0" spcFirstLastPara="0" vertOverflow="ellipsis" vert="horz" wrap="square" anchor="ctr" anchorCtr="true"/>
          <a:lstStyle/>
          <a:p>
            <a:pPr>
              <a:defRPr lang="zh-CN" sz="1200" b="0" i="0" u="none" strike="noStrike" kern="1200" cap="none" spc="0" normalizeH="0" baseline="0">
                <a:solidFill>
                  <a:srgbClr val="000000"/>
                </a:solidFill>
                <a:uFill>
                  <a:solidFill>
                    <a:srgbClr val="000000"/>
                  </a:solidFill>
                </a:uFill>
                <a:latin typeface="+mn-lt"/>
                <a:ea typeface="+mn-ea"/>
                <a:cs typeface="+mn-cs"/>
              </a:defRPr>
            </a:pPr>
          </a:p>
        </c:txPr>
      </c:dTable>
      <c:spPr>
        <a:noFill/>
        <a:ln w="12700">
          <a:solidFill>
            <a:srgbClr val="000000">
              <a:alpha val="100000"/>
            </a:srgbClr>
          </a:solidFill>
          <a:prstDash val="solid"/>
        </a:ln>
      </c:spPr>
    </c:plotArea>
    <c:plotVisOnly val="true"/>
    <c:dispBlanksAs val="gap"/>
    <c:showDLblsOverMax val="false"/>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sz="1200" u="none" strike="noStrike" kern="1200" cap="none" spc="0" normalizeH="0">
          <a:solidFill>
            <a:srgbClr val="000000"/>
          </a:solidFill>
          <a:uFill>
            <a:solidFill>
              <a:srgbClr val="000000"/>
            </a:solidFill>
          </a:uFill>
        </a:defRPr>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false"/>
      <c:spPr>
        <a:noFill/>
        <a:ln>
          <a:noFill/>
        </a:ln>
        <a:effectLst/>
      </c:spPr>
    </c:title>
    <c:autoTitleDeleted val="false"/>
    <c:plotArea>
      <c:layout/>
      <c:pieChart>
        <c:varyColors val="true"/>
        <c:ser>
          <c:idx val="0"/>
          <c:order val="0"/>
          <c:tx>
            <c:strRef>
              <c:f>'[图表-2025.xls]Sheet1'!$J$138</c:f>
              <c:strCache>
                <c:ptCount val="1"/>
                <c:pt idx="0">
                  <c:v>金额</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tru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'[图表-2025.xls]Sheet1'!$K$137:$L$137</c:f>
              <c:strCache>
                <c:ptCount val="2"/>
                <c:pt idx="0">
                  <c:v>一般公共服务支出</c:v>
                </c:pt>
                <c:pt idx="1">
                  <c:v>卫生健康支出</c:v>
                </c:pt>
              </c:strCache>
            </c:strRef>
          </c:cat>
          <c:val>
            <c:numRef>
              <c:f>'[图表-2025.xls]Sheet1'!$K$138:$L$138</c:f>
              <c:numCache>
                <c:formatCode>#,##0.00</c:formatCode>
                <c:ptCount val="2"/>
                <c:pt idx="0">
                  <c:v>1368.26</c:v>
                </c:pt>
                <c:pt idx="1">
                  <c:v>165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000000">
                    <a:alpha val="100000"/>
                  </a:srgbClr>
                </a:solidFill>
                <a:latin typeface="宋体" charset="-122"/>
                <a:ea typeface="宋体" charset="-122"/>
                <a:cs typeface="宋体" charset="-122"/>
              </a:defRPr>
            </a:pPr>
            <a:r>
              <a:rPr lang="zh-CN" altLang="en-US" sz="1400" b="1" i="0" u="none" strike="noStrike" baseline="0">
                <a:solidFill>
                  <a:srgbClr val="000000"/>
                </a:solidFill>
                <a:latin typeface="Calibri" charset="-122"/>
                <a:ea typeface="Calibri" charset="-122"/>
                <a:cs typeface="Calibri" charset="-122"/>
              </a:rPr>
              <a:t>“三公”经费财政拨款支出结构</a:t>
            </a:r>
            <a:endParaRPr lang="zh-CN" altLang="en-US" sz="1400" b="0" i="0" u="none" strike="noStrike" baseline="0">
              <a:solidFill>
                <a:srgbClr val="000000"/>
              </a:solidFill>
              <a:latin typeface="宋体" charset="-122"/>
              <a:ea typeface="宋体" charset="-122"/>
              <a:cs typeface="宋体" charset="-122"/>
            </a:endParaRPr>
          </a:p>
        </c:rich>
      </c:tx>
      <c:layout/>
      <c:overlay val="false"/>
    </c:title>
    <c:autoTitleDeleted val="false"/>
    <c:plotArea>
      <c:layout>
        <c:manualLayout>
          <c:layoutTarget val="inner"/>
          <c:xMode val="edge"/>
          <c:yMode val="edge"/>
          <c:x val="0.190036900369004"/>
          <c:y val="0.253473081709397"/>
          <c:w val="0.614391143911439"/>
          <c:h val="0.638891055267521"/>
        </c:manualLayout>
      </c:layout>
      <c:pieChart>
        <c:varyColors val="true"/>
        <c:ser>
          <c:idx val="0"/>
          <c:order val="0"/>
          <c:tx>
            <c:strRef>
              <c:f>'[图表-2025.xls]Sheet1'!$A$17</c:f>
              <c:strCache>
                <c:ptCount val="1"/>
                <c:pt idx="0">
                  <c:v>金额</c:v>
                </c:pt>
              </c:strCache>
            </c:strRef>
          </c:tx>
          <c:explosion val="0"/>
          <c:dPt>
            <c:idx val="0"/>
            <c:bubble3D val="false"/>
            <c:explosion val="0"/>
          </c:dPt>
          <c:dPt>
            <c:idx val="1"/>
            <c:bubble3D val="false"/>
            <c:explosion val="0"/>
          </c:dPt>
          <c:dPt>
            <c:idx val="2"/>
            <c:bubble3D val="false"/>
            <c:explosion val="0"/>
          </c:dPt>
          <c:dLbls>
            <c:dLbl>
              <c:idx val="1"/>
              <c:layout>
                <c:manualLayout>
                  <c:x val="0.108042038814757"/>
                  <c:y val="0.0737347636102602"/>
                </c:manualLayout>
              </c:layout>
              <c:dLblPos val="bestFit"/>
              <c:showLegendKey val="false"/>
              <c:showVal val="true"/>
              <c:showCatName val="true"/>
              <c:showSerName val="false"/>
              <c:showPercent val="true"/>
              <c:showBubbleSize val="false"/>
              <c:separator>
</c:separator>
              <c:extLst>
                <c:ext xmlns:c15="http://schemas.microsoft.com/office/drawing/2012/chart" uri="{CE6537A1-D6FC-4f65-9D91-7224C49458BB}">
                  <c15:layout/>
                </c:ext>
              </c:extLst>
            </c:dLbl>
            <c:dLbl>
              <c:idx val="2"/>
              <c:layout>
                <c:manualLayout>
                  <c:x val="-0.137356825383296"/>
                  <c:y val="0.20995273094836"/>
                </c:manualLayout>
              </c:layout>
              <c:numFmt formatCode="0.00%"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true"/>
              <c:showSerName val="false"/>
              <c:showPercent val="true"/>
              <c:showBubbleSize val="false"/>
              <c:separator>
</c:separator>
              <c:extLst>
                <c:ext xmlns:c15="http://schemas.microsoft.com/office/drawing/2012/chart" uri="{CE6537A1-D6FC-4f65-9D91-7224C49458BB}">
                  <c15:layout/>
                </c:ext>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true"/>
            <c:showSerName val="false"/>
            <c:showPercent val="true"/>
            <c:showBubbleSize val="false"/>
            <c:separator>
</c:separator>
            <c:showLeaderLines val="true"/>
            <c:extLst>
              <c:ext xmlns:c15="http://schemas.microsoft.com/office/drawing/2012/chart" uri="{CE6537A1-D6FC-4f65-9D91-7224C49458BB}">
                <c15:layout/>
                <c15:showLeaderLines val="true"/>
                <c15:leaderLines>
                  <c:spPr>
                    <a:ln w="9525" cap="flat" cmpd="sng" algn="ctr">
                      <a:solidFill>
                        <a:srgbClr val="000000">
                          <a:alpha val="100000"/>
                        </a:srgbClr>
                      </a:solidFill>
                      <a:prstDash val="solid"/>
                      <a:round/>
                    </a:ln>
                  </c:spPr>
                </c15:leaderLines>
              </c:ext>
            </c:extLst>
          </c:dLbls>
          <c:cat>
            <c:strRef>
              <c:f>'[图表-2025.xls]Sheet1'!$B$16:$D$16</c:f>
              <c:strCache>
                <c:ptCount val="3"/>
                <c:pt idx="0">
                  <c:v>公务用车购置及运行费</c:v>
                </c:pt>
                <c:pt idx="1">
                  <c:v>公务接待费</c:v>
                </c:pt>
                <c:pt idx="2">
                  <c:v>因公出国（境）</c:v>
                </c:pt>
              </c:strCache>
            </c:strRef>
          </c:cat>
          <c:val>
            <c:numRef>
              <c:f>'[图表-2025.xls]Sheet1'!$B$17:$D$17</c:f>
              <c:numCache>
                <c:formatCode>General</c:formatCode>
                <c:ptCount val="3"/>
                <c:pt idx="0">
                  <c:v>83.24</c:v>
                </c:pt>
                <c:pt idx="1">
                  <c:v>0.78</c:v>
                </c:pt>
                <c:pt idx="2">
                  <c:v>0</c:v>
                </c:pt>
              </c:numCache>
            </c:numRef>
          </c:val>
        </c:ser>
        <c:dLbls>
          <c:showLegendKey val="false"/>
          <c:showVal val="false"/>
          <c:showCatName val="false"/>
          <c:showSerName val="false"/>
          <c:showPercent val="false"/>
          <c:showBubbleSize val="false"/>
          <c:showLeaderLines val="true"/>
        </c:dLbls>
        <c:firstSliceAng val="50"/>
      </c:pieChart>
      <c:spPr>
        <a:noFill/>
        <a:ln w="3175">
          <a:noFill/>
        </a:ln>
      </c:spPr>
    </c:plotArea>
    <c:plotVisOnly val="true"/>
    <c:dispBlanksAs val="zero"/>
    <c:showDLblsOverMax val="false"/>
  </c:chart>
  <c:txPr>
    <a:bodyPr wrap="square"/>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37</TotalTime>
  <ScaleCrop>false</ScaleCrop>
  <LinksUpToDate>false</LinksUpToDate>
  <CharactersWithSpaces>8692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2020-08-09T01:49:00Z</dcterms:created>
  <dc:creator>曹颖</dc:creator>
  <cp:lastModifiedBy>user</cp:lastModifiedBy>
  <cp:lastPrinted>2026-08-03T17:27:00Z</cp:lastPrinted>
  <dcterms:modified xsi:type="dcterms:W3CDTF">2026-09-03T16:19:26Z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3BF536824C220DA3E40E8B68BA118B1C_42</vt:lpwstr>
  </property>
</Properties>
</file>